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righ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566863" cy="613586"/>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66863" cy="613586"/>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2">
      <w:pPr>
        <w:pStyle w:val="Title"/>
        <w:ind w:left="0" w:firstLine="0"/>
        <w:rPr>
          <w:rFonts w:ascii="Helvetica Neue" w:cs="Helvetica Neue" w:eastAsia="Helvetica Neue" w:hAnsi="Helvetica Neue"/>
          <w:b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sz w:val="24"/>
          <w:szCs w:val="24"/>
          <w:rtl w:val="0"/>
        </w:rPr>
        <w:t xml:space="preserve">Managing our climate and weather through responsible engineering</w:t>
      </w:r>
    </w:p>
    <w:p w:rsidR="00000000" w:rsidDel="00000000" w:rsidP="00000000" w:rsidRDefault="00000000" w:rsidRPr="00000000" w14:paraId="00000003">
      <w:pPr>
        <w:pStyle w:val="Subtitle"/>
        <w:spacing w:line="276" w:lineRule="auto"/>
        <w:ind w:left="0" w:firstLine="0"/>
        <w:rPr>
          <w:rFonts w:ascii="Helvetica Neue" w:cs="Helvetica Neue" w:eastAsia="Helvetica Neue" w:hAnsi="Helvetica Neue"/>
          <w:b w:val="1"/>
          <w:sz w:val="24"/>
          <w:szCs w:val="24"/>
        </w:rPr>
      </w:pPr>
      <w:bookmarkStart w:colFirst="0" w:colLast="0" w:name="_heading=h.30j0zll" w:id="1"/>
      <w:bookmarkEnd w:id="1"/>
      <w:r w:rsidDel="00000000" w:rsidR="00000000" w:rsidRPr="00000000">
        <w:rPr>
          <w:rFonts w:ascii="Helvetica Neue" w:cs="Helvetica Neue" w:eastAsia="Helvetica Neue" w:hAnsi="Helvetica Neue"/>
          <w:b w:val="1"/>
          <w:sz w:val="24"/>
          <w:szCs w:val="24"/>
          <w:rtl w:val="0"/>
        </w:rPr>
        <w:t xml:space="preserve">Opportunity space </w:t>
      </w:r>
    </w:p>
    <w:p w:rsidR="00000000" w:rsidDel="00000000" w:rsidP="00000000" w:rsidRDefault="00000000" w:rsidRPr="00000000" w14:paraId="00000004">
      <w:pPr>
        <w:spacing w:after="160" w:line="216" w:lineRule="auto"/>
        <w:ind w:left="0"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v1.0</w:t>
      </w:r>
    </w:p>
    <w:p w:rsidR="00000000" w:rsidDel="00000000" w:rsidP="00000000" w:rsidRDefault="00000000" w:rsidRPr="00000000" w14:paraId="00000005">
      <w:pPr>
        <w:spacing w:after="1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Mark Symes, Programme Director </w:t>
      </w:r>
    </w:p>
    <w:p w:rsidR="00000000" w:rsidDel="00000000" w:rsidP="00000000" w:rsidRDefault="00000000" w:rsidRPr="00000000" w14:paraId="00000006">
      <w:pPr>
        <w:pStyle w:val="Heading1"/>
        <w:spacing w:after="160" w:lineRule="auto"/>
        <w:ind w:left="0" w:firstLine="0"/>
        <w:rPr>
          <w:rFonts w:ascii="Helvetica Neue" w:cs="Helvetica Neue" w:eastAsia="Helvetica Neue" w:hAnsi="Helvetica Neue"/>
          <w:b w:val="1"/>
          <w:color w:val="000000"/>
          <w:sz w:val="24"/>
          <w:szCs w:val="24"/>
        </w:rPr>
      </w:pPr>
      <w:bookmarkStart w:colFirst="0" w:colLast="0" w:name="_heading=h.1fob9te" w:id="2"/>
      <w:bookmarkEnd w:id="2"/>
      <w:r w:rsidDel="00000000" w:rsidR="00000000" w:rsidRPr="00000000">
        <w:rPr>
          <w:rFonts w:ascii="Helvetica Neue" w:cs="Helvetica Neue" w:eastAsia="Helvetica Neue" w:hAnsi="Helvetica Neue"/>
          <w:b w:val="1"/>
          <w:color w:val="000000"/>
          <w:sz w:val="24"/>
          <w:szCs w:val="24"/>
          <w:rtl w:val="0"/>
        </w:rPr>
        <w:t xml:space="preserve">CONTEXT</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document describes an opportunity space - an area that we believe is likely to yield breakthroughs, from which one or more funding programmes will emerge. </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opportunity space is not currently soliciting feedback – you can stay up to date with this opportunity space, plus others across ARIA, </w:t>
      </w:r>
      <w:hyperlink r:id="rId8">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tl w:val="0"/>
        </w:rPr>
        <w:t xml:space="preserve">w</w:t>
      </w:r>
      <w:r w:rsidDel="00000000" w:rsidR="00000000" w:rsidRPr="00000000">
        <w:rPr>
          <w:rFonts w:ascii="Helvetica Neue" w:cs="Helvetica Neue" w:eastAsia="Helvetica Neue" w:hAnsi="Helvetica Neue"/>
          <w:sz w:val="24"/>
          <w:szCs w:val="24"/>
          <w:rtl w:val="0"/>
        </w:rPr>
        <w:t xml:space="preserve">ww.aria.org.uk/opportunity-space-updates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tandem, our programme hypothesis related to this opportunity space has now been published. You can read this document </w:t>
      </w:r>
      <w:hyperlink r:id="rId9">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[PDF] (https://www.aria.org.uk/wp-content/uploads/2024/05/ACCESSIBLE-_-Exploring-Options-for-Actively-Cooling-the-Earth.docx)</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have also launched a programme, Exploring Climate Cooling, in this opportunity space. Find out more </w:t>
      </w:r>
      <w:hyperlink r:id="rId10">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(www.aria.org.uk/exploring-climate-cooling)</w:t>
      </w: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ARIA opportunity space should be:</w:t>
      </w:r>
    </w:p>
    <w:p w:rsidR="00000000" w:rsidDel="00000000" w:rsidP="00000000" w:rsidRDefault="00000000" w:rsidRPr="00000000" w14:paraId="00000010">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important if true (i.e. could lead to a significant new capability for society), </w:t>
      </w:r>
      <w:r w:rsidDel="00000000" w:rsidR="00000000" w:rsidRPr="00000000">
        <w:rPr>
          <w:rtl w:val="0"/>
        </w:rPr>
      </w:r>
    </w:p>
    <w:p w:rsidR="00000000" w:rsidDel="00000000" w:rsidP="00000000" w:rsidRDefault="00000000" w:rsidRPr="00000000" w14:paraId="00000011">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under-explored relative to its potential impact, and </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ripe for new talent, perspectives, or resources to change what’s possible.</w:t>
      </w:r>
      <w:r w:rsidDel="00000000" w:rsidR="00000000" w:rsidRPr="00000000">
        <w:rPr>
          <w:rtl w:val="0"/>
        </w:rPr>
      </w:r>
    </w:p>
    <w:p w:rsidR="00000000" w:rsidDel="00000000" w:rsidP="00000000" w:rsidRDefault="00000000" w:rsidRPr="00000000" w14:paraId="00000013">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pStyle w:val="Heading1"/>
        <w:spacing w:after="160" w:lineRule="auto"/>
        <w:ind w:left="0" w:firstLine="0"/>
        <w:rPr>
          <w:rFonts w:ascii="Helvetica Neue" w:cs="Helvetica Neue" w:eastAsia="Helvetica Neue" w:hAnsi="Helvetica Neue"/>
          <w:sz w:val="24"/>
          <w:szCs w:val="24"/>
        </w:rPr>
      </w:pPr>
      <w:bookmarkStart w:colFirst="0" w:colLast="0" w:name="_heading=h.3znysh7" w:id="3"/>
      <w:bookmarkEnd w:id="3"/>
      <w:r w:rsidDel="00000000" w:rsidR="00000000" w:rsidRPr="00000000">
        <w:rPr>
          <w:rFonts w:ascii="Helvetica Neue" w:cs="Helvetica Neue" w:eastAsia="Helvetica Neue" w:hAnsi="Helvetica Neue"/>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015">
      <w:pPr>
        <w:ind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an abrupt alteration in a climate system were to unfold, we would have no tools to mitigate the effects. Through research, we could understand the science behind how we might intervene to responsibly manage the climate and weather. For more on our approach, read our Q&amp;A </w:t>
      </w:r>
      <w:hyperlink r:id="rId11">
        <w:r w:rsidDel="00000000" w:rsidR="00000000" w:rsidRPr="00000000">
          <w:rPr>
            <w:rFonts w:ascii="Helvetica Neue" w:cs="Helvetica Neue" w:eastAsia="Helvetica Neue" w:hAnsi="Helvetica Neue"/>
            <w:color w:val="1155cc"/>
            <w:sz w:val="24"/>
            <w:szCs w:val="24"/>
            <w:u w:val="single"/>
            <w:rtl w:val="0"/>
          </w:rPr>
          <w:t xml:space="preserve">here</w:t>
        </w:r>
      </w:hyperlink>
      <w:hyperlink r:id="rId12">
        <w:r w:rsidDel="00000000" w:rsidR="00000000" w:rsidRPr="00000000">
          <w:rPr>
            <w:rFonts w:ascii="Helvetica Neue" w:cs="Helvetica Neue" w:eastAsia="Helvetica Neue" w:hAnsi="Helvetica Neue"/>
            <w:sz w:val="24"/>
            <w:szCs w:val="24"/>
            <w:rtl w:val="0"/>
          </w:rPr>
          <w:t xml:space="preserve"> (</w:t>
        </w:r>
      </w:hyperlink>
      <w:hyperlink r:id="rId13">
        <w:r w:rsidDel="00000000" w:rsidR="00000000" w:rsidRPr="00000000">
          <w:rPr>
            <w:rFonts w:ascii="Helvetica Neue" w:cs="Helvetica Neue" w:eastAsia="Helvetica Neue" w:hAnsi="Helvetica Neue"/>
            <w:color w:val="1155cc"/>
            <w:sz w:val="24"/>
            <w:szCs w:val="24"/>
            <w:u w:val="single"/>
            <w:rtl w:val="0"/>
          </w:rPr>
          <w:t xml:space="preserve">https://ariaresearch.substack.com/p/833c81a3-bac9-4a51-ab17-0b90ee95a87e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6">
      <w:pPr>
        <w:ind w:firstLine="0"/>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ind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8">
      <w:pPr>
        <w:ind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000000"/>
          <w:sz w:val="24"/>
          <w:szCs w:val="24"/>
          <w:rtl w:val="0"/>
        </w:rPr>
        <w:t xml:space="preserve">BELIEFS</w:t>
      </w:r>
      <w:r w:rsidDel="00000000" w:rsidR="00000000" w:rsidRPr="00000000">
        <w:rPr>
          <w:rtl w:val="0"/>
        </w:rPr>
      </w:r>
    </w:p>
    <w:p w:rsidR="00000000" w:rsidDel="00000000" w:rsidP="00000000" w:rsidRDefault="00000000" w:rsidRPr="00000000" w14:paraId="00000019">
      <w:pPr>
        <w:ind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A">
      <w:pPr>
        <w:numPr>
          <w:ilvl w:val="0"/>
          <w:numId w:val="3"/>
        </w:numPr>
        <w:ind w:left="720" w:hanging="360"/>
        <w:rPr>
          <w:rFonts w:ascii="Helvetica Neue" w:cs="Helvetica Neue" w:eastAsia="Helvetica Neue" w:hAnsi="Helvetica Neue"/>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Climate tipping points (abrupt changes to the Earth’s climate) like the melting of large ice sheets or sudden changes in ocean currents have happened in the past. The next one could be imminent → but we have no options for how we might intervene on the timescales required to avert disaster.</w:t>
          </w:r>
        </w:sdtContent>
      </w:sdt>
      <w:r w:rsidDel="00000000" w:rsidR="00000000" w:rsidRPr="00000000">
        <w:rPr>
          <w:rtl w:val="0"/>
        </w:rPr>
      </w:r>
    </w:p>
    <w:p w:rsidR="00000000" w:rsidDel="00000000" w:rsidP="00000000" w:rsidRDefault="00000000" w:rsidRPr="00000000" w14:paraId="0000001B">
      <w:pPr>
        <w:numPr>
          <w:ilvl w:val="0"/>
          <w:numId w:val="3"/>
        </w:numPr>
        <w:ind w:left="720" w:hanging="360"/>
        <w:rPr>
          <w:rFonts w:ascii="Helvetica Neue" w:cs="Helvetica Neue" w:eastAsia="Helvetica Neue" w:hAnsi="Helvetica Neue"/>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Through carefully-considered engineering solutions → it may eventually be possible to actively and responsibly control the climate and weather at regional and global scale.</w:t>
          </w:r>
        </w:sdtContent>
      </w:sdt>
      <w:r w:rsidDel="00000000" w:rsidR="00000000" w:rsidRPr="00000000">
        <w:rPr>
          <w:rtl w:val="0"/>
        </w:rPr>
      </w:r>
    </w:p>
    <w:p w:rsidR="00000000" w:rsidDel="00000000" w:rsidP="00000000" w:rsidRDefault="00000000" w:rsidRPr="00000000" w14:paraId="0000001C">
      <w:pPr>
        <w:numPr>
          <w:ilvl w:val="0"/>
          <w:numId w:val="3"/>
        </w:numPr>
        <w:ind w:left="720" w:hanging="360"/>
        <w:rPr>
          <w:rFonts w:ascii="Helvetica Neue" w:cs="Helvetica Neue" w:eastAsia="Helvetica Neue" w:hAnsi="Helvetica Neue"/>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Modern computing allows us to model the climate with unprecedented precision, providing a basis for increasingly confident prediction and validation of research-scale climate control experiments. Coupled with the imperative to address the consequences of anthropogenic climate change → there is a unique combination of push-pull factors pushing us to explore the development of a new climate control R&amp;D community.</w:t>
          </w:r>
        </w:sdtContent>
      </w:sdt>
      <w:r w:rsidDel="00000000" w:rsidR="00000000" w:rsidRPr="00000000">
        <w:rPr>
          <w:rtl w:val="0"/>
        </w:rPr>
      </w:r>
    </w:p>
    <w:p w:rsidR="00000000" w:rsidDel="00000000" w:rsidP="00000000" w:rsidRDefault="00000000" w:rsidRPr="00000000" w14:paraId="0000001D">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F">
      <w:pPr>
        <w:pStyle w:val="Heading1"/>
        <w:rPr>
          <w:rFonts w:ascii="Helvetica Neue" w:cs="Helvetica Neue" w:eastAsia="Helvetica Neue" w:hAnsi="Helvetica Neue"/>
          <w:sz w:val="24"/>
          <w:szCs w:val="24"/>
        </w:rPr>
      </w:pPr>
      <w:bookmarkStart w:colFirst="0" w:colLast="0" w:name="_heading=h.2et92p0" w:id="4"/>
      <w:bookmarkEnd w:id="4"/>
      <w:r w:rsidDel="00000000" w:rsidR="00000000" w:rsidRPr="00000000">
        <w:rPr>
          <w:rFonts w:ascii="Helvetica Neue" w:cs="Helvetica Neue" w:eastAsia="Helvetica Neue" w:hAnsi="Helvetica Neue"/>
          <w:b w:val="1"/>
          <w:color w:val="000000"/>
          <w:sz w:val="24"/>
          <w:szCs w:val="24"/>
          <w:rtl w:val="0"/>
        </w:rPr>
        <w:t xml:space="preserve">OBSERVATIONS </w:t>
      </w:r>
      <w:r w:rsidDel="00000000" w:rsidR="00000000" w:rsidRPr="00000000">
        <w:rPr>
          <w:rtl w:val="0"/>
        </w:rPr>
      </w:r>
    </w:p>
    <w:p w:rsidR="00000000" w:rsidDel="00000000" w:rsidP="00000000" w:rsidRDefault="00000000" w:rsidRPr="00000000" w14:paraId="00000020">
      <w:pPr>
        <w:spacing w:after="160" w:lineRule="auto"/>
        <w:ind w:left="0" w:firstLine="0"/>
        <w:rPr>
          <w:rFonts w:ascii="Helvetica Neue Light" w:cs="Helvetica Neue Light" w:eastAsia="Helvetica Neue Light" w:hAnsi="Helvetica Neue Light"/>
          <w:i w:val="1"/>
          <w:sz w:val="24"/>
          <w:szCs w:val="24"/>
        </w:rPr>
      </w:pPr>
      <w:r w:rsidDel="00000000" w:rsidR="00000000" w:rsidRPr="00000000">
        <w:rPr>
          <w:rFonts w:ascii="Helvetica Neue Light" w:cs="Helvetica Neue Light" w:eastAsia="Helvetica Neue Light" w:hAnsi="Helvetica Neue Light"/>
          <w:i w:val="1"/>
          <w:sz w:val="24"/>
          <w:szCs w:val="24"/>
          <w:rtl w:val="0"/>
        </w:rPr>
        <w:t xml:space="preserve">Sign posts as to why we see this area as important, under-explored, and ripe. </w:t>
      </w:r>
    </w:p>
    <w:p w:rsidR="00000000" w:rsidDel="00000000" w:rsidP="00000000" w:rsidRDefault="00000000" w:rsidRPr="00000000" w14:paraId="0000002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2">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1815 – Mount Tambora erupted in Indonesia. Huge quantities of dust + aerosols were released into the atmosphere. In the year following:  the average global temperature dropped by 0.4–0.7 °C; Europe experienced its coldest  summer in the last 250 years. Famine + economic disruption followed.</w:t>
      </w:r>
      <w:r w:rsidDel="00000000" w:rsidR="00000000" w:rsidRPr="00000000">
        <w:rPr>
          <w:rtl w:val="0"/>
        </w:rPr>
      </w:r>
    </w:p>
    <w:p w:rsidR="00000000" w:rsidDel="00000000" w:rsidP="00000000" w:rsidRDefault="00000000" w:rsidRPr="00000000" w14:paraId="00000023">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How could we respond if something similar happened again?</w:t>
      </w:r>
    </w:p>
    <w:p w:rsidR="00000000" w:rsidDel="00000000" w:rsidP="00000000" w:rsidRDefault="00000000" w:rsidRPr="00000000" w14:paraId="00000024">
      <w:pPr>
        <w:ind w:left="1440" w:firstLine="0"/>
        <w:jc w:val="center"/>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Pr>
        <w:drawing>
          <wp:inline distB="114300" distT="114300" distL="114300" distR="114300">
            <wp:extent cx="2919413" cy="2352675"/>
            <wp:effectExtent b="0" l="0" r="0" t="0"/>
            <wp:docPr id="10" name="image3.png"/>
            <a:graphic>
              <a:graphicData uri="http://schemas.openxmlformats.org/drawingml/2006/picture">
                <pic:pic>
                  <pic:nvPicPr>
                    <pic:cNvPr id="0" name="image3.png"/>
                    <pic:cNvPicPr preferRelativeResize="0"/>
                  </pic:nvPicPr>
                  <pic:blipFill>
                    <a:blip r:embed="rId14"/>
                    <a:srcRect b="0" l="21624" r="24463" t="0"/>
                    <a:stretch>
                      <a:fillRect/>
                    </a:stretch>
                  </pic:blipFill>
                  <pic:spPr>
                    <a:xfrm>
                      <a:off x="0" y="0"/>
                      <a:ext cx="2919413"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4"/>
        </w:numPr>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sz w:val="24"/>
          <w:szCs w:val="24"/>
          <w:highlight w:val="white"/>
          <w:rtl w:val="0"/>
        </w:rPr>
        <w:t xml:space="preserve">Figure 1: This image shows average temperature in 1816 relative to 1779-1808. </w:t>
      </w:r>
      <w:r w:rsidDel="00000000" w:rsidR="00000000" w:rsidRPr="00000000">
        <w:rPr>
          <w:rtl w:val="0"/>
        </w:rPr>
      </w:r>
    </w:p>
    <w:p w:rsidR="00000000" w:rsidDel="00000000" w:rsidP="00000000" w:rsidRDefault="00000000" w:rsidRPr="00000000" w14:paraId="00000026">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7">
      <w:pPr>
        <w:numPr>
          <w:ilvl w:val="0"/>
          <w:numId w:val="4"/>
        </w:numPr>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Current trends in global temperatures driven by human activity suggest we’re on course to exceed 1.5 °C  above pre-industrial levels within 10-20 years,  and 3-4 °C by 2100. The buffering capacity of the oceans will lead to a significant time lag between emission and maximal warming effect.</w:t>
      </w:r>
    </w:p>
    <w:p w:rsidR="00000000" w:rsidDel="00000000" w:rsidP="00000000" w:rsidRDefault="00000000" w:rsidRPr="00000000" w14:paraId="00000028">
      <w:pPr>
        <w:ind w:left="720" w:firstLine="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029">
      <w:pPr>
        <w:ind w:left="720" w:firstLine="0"/>
        <w:jc w:val="center"/>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sz w:val="24"/>
          <w:szCs w:val="24"/>
          <w:highlight w:val="white"/>
        </w:rPr>
        <w:drawing>
          <wp:inline distB="19050" distT="19050" distL="19050" distR="19050">
            <wp:extent cx="2944178" cy="2329841"/>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944178" cy="232984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2B">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This graph shows projected global surface temperature changes under various emissions scenarios. Under a very high emissions scenario, the temperature change level would rise by 5°C by 2100 relative to the 1850-1900 baseline.</w:t>
      </w:r>
    </w:p>
    <w:p w:rsidR="00000000" w:rsidDel="00000000" w:rsidP="00000000" w:rsidRDefault="00000000" w:rsidRPr="00000000" w14:paraId="0000002C">
      <w:pPr>
        <w:widowControl w:val="0"/>
        <w:ind w:left="0" w:firstLine="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ind w:left="0" w:firstLine="0"/>
        <w:rPr>
          <w:rFonts w:ascii="Helvetica Neue" w:cs="Helvetica Neue" w:eastAsia="Helvetica Neue" w:hAnsi="Helvetica Neue"/>
        </w:rPr>
      </w:pPr>
      <w:r w:rsidDel="00000000" w:rsidR="00000000" w:rsidRPr="00000000">
        <w:rPr>
          <w:rtl w:val="0"/>
        </w:rPr>
      </w:r>
    </w:p>
    <w:tbl>
      <w:tblPr>
        <w:tblStyle w:val="Table1"/>
        <w:tblW w:w="9615.0" w:type="dxa"/>
        <w:jc w:val="left"/>
        <w:tblInd w:w="1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520"/>
        <w:gridCol w:w="1365"/>
        <w:gridCol w:w="3465"/>
        <w:gridCol w:w="1035"/>
        <w:gridCol w:w="1230"/>
        <w:tblGridChange w:id="0">
          <w:tblGrid>
            <w:gridCol w:w="2520"/>
            <w:gridCol w:w="1365"/>
            <w:gridCol w:w="3465"/>
            <w:gridCol w:w="1035"/>
            <w:gridCol w:w="1230"/>
          </w:tblGrid>
        </w:tblGridChange>
      </w:tblGrid>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Event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F">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Likelihood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0">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Effects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1">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Impact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2">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Mark’s risk rating</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West Antarctic ice sheet melts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sea levels rise by ~1.5m by 2150 and 5m by 2500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7">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Extreme</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Atlantic meridional overturning circulation</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A">
            <w:pPr>
              <w:widowControl w:val="0"/>
              <w:spacing w:line="21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NW Europe cools by 10-15 celsius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C">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Very 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Methane release from permafrost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2 - 4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F">
            <w:pPr>
              <w:widowControl w:val="0"/>
              <w:spacing w:line="21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Dramatically accelerated heating</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1">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Dieback of Amazon rainforest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Global precipitation patterns disrupted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6">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Medium</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Yellowstone Supervolcano erupts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Mass extinction via volcanic winter</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B">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Medium</w:t>
            </w:r>
          </w:p>
        </w:tc>
      </w:tr>
    </w:tbl>
    <w:p w:rsidR="00000000" w:rsidDel="00000000" w:rsidP="00000000" w:rsidRDefault="00000000" w:rsidRPr="00000000" w14:paraId="0000004C">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D">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table provides Mark’s (incomplete) risk register of potential climate tipping points, assuming 3-4 °C warming above pre-industrial levels by 2100. In many cases, the likelihood and potential effects of such events are only poorly constrained.  Likelihood and impact scales: 1 = very low; 5 = very high. </w:t>
      </w:r>
    </w:p>
    <w:p w:rsidR="00000000" w:rsidDel="00000000" w:rsidP="00000000" w:rsidRDefault="00000000" w:rsidRPr="00000000" w14:paraId="0000004E">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Could we develop the capability to intervene and prevent, rather than only react?</w:t>
      </w:r>
    </w:p>
    <w:p w:rsidR="00000000" w:rsidDel="00000000" w:rsidP="00000000" w:rsidRDefault="00000000" w:rsidRPr="00000000" w14:paraId="0000004F">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0">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Any trials of climate and weather control technologies should rely on close engagement with governments, policy makers and the public. Governance and policy are likely to become major geopolitical issues.</w:t>
      </w:r>
      <w:r w:rsidDel="00000000" w:rsidR="00000000" w:rsidRPr="00000000">
        <w:rPr>
          <w:rtl w:val="0"/>
        </w:rPr>
      </w:r>
    </w:p>
    <w:p w:rsidR="00000000" w:rsidDel="00000000" w:rsidP="00000000" w:rsidRDefault="00000000" w:rsidRPr="00000000" w14:paraId="00000051">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standards and protocols should we adopt for safe trails of such technologies? How should the impact on local communities and the natural environment be accounted for and measured?</w:t>
      </w:r>
    </w:p>
    <w:p w:rsidR="00000000" w:rsidDel="00000000" w:rsidP="00000000" w:rsidRDefault="00000000" w:rsidRPr="00000000" w14:paraId="00000052">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technological options are there that are workable, scalable, ethical and for which the benefits outweigh the drawbacks? What civil engineering and improved land use solutions might there be for controlling the climate at local and global scale?</w:t>
      </w:r>
      <w:r w:rsidDel="00000000" w:rsidR="00000000" w:rsidRPr="00000000">
        <w:rPr>
          <w:rtl w:val="0"/>
        </w:rPr>
      </w:r>
    </w:p>
    <w:p w:rsidR="00000000" w:rsidDel="00000000" w:rsidP="00000000" w:rsidRDefault="00000000" w:rsidRPr="00000000" w14:paraId="00000054">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5">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development and testing of hardware for controlling the weather and climate remains massively underserved. Very few trials of any technologies for weather or climate control have taken place. </w:t>
      </w:r>
      <w:r w:rsidDel="00000000" w:rsidR="00000000" w:rsidRPr="00000000">
        <w:rPr>
          <w:rtl w:val="0"/>
        </w:rPr>
      </w:r>
    </w:p>
    <w:p w:rsidR="00000000" w:rsidDel="00000000" w:rsidP="00000000" w:rsidRDefault="00000000" w:rsidRPr="00000000" w14:paraId="00000056">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Surely there are more options than just stratospheric aerosol injection or cloud brightening? </w:t>
      </w:r>
    </w:p>
    <w:p w:rsidR="00000000" w:rsidDel="00000000" w:rsidP="00000000" w:rsidRDefault="00000000" w:rsidRPr="00000000" w14:paraId="00000057">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8">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economic cost of extreme weather events is significant (and rising), and the potential  economic gains of developing technologies for  control of the climate and weather are likely to  be considerable.</w:t>
      </w:r>
      <w:r w:rsidDel="00000000" w:rsidR="00000000" w:rsidRPr="00000000">
        <w:rPr>
          <w:rtl w:val="0"/>
        </w:rPr>
      </w:r>
    </w:p>
    <w:p w:rsidR="00000000" w:rsidDel="00000000" w:rsidP="00000000" w:rsidRDefault="00000000" w:rsidRPr="00000000" w14:paraId="00000059">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In contrast, total global spend on climate engineering research over the last fifty years has been minimal. </w:t>
      </w:r>
    </w:p>
    <w:p w:rsidR="00000000" w:rsidDel="00000000" w:rsidP="00000000" w:rsidRDefault="00000000" w:rsidRPr="00000000" w14:paraId="0000005A">
      <w:pPr>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4465749" cy="2377038"/>
            <wp:effectExtent b="0" l="0" r="0" t="0"/>
            <wp:docPr descr="Chart" id="12" name="image5.png"/>
            <a:graphic>
              <a:graphicData uri="http://schemas.openxmlformats.org/drawingml/2006/picture">
                <pic:pic>
                  <pic:nvPicPr>
                    <pic:cNvPr descr="Chart" id="0" name="image5.png"/>
                    <pic:cNvPicPr preferRelativeResize="0"/>
                  </pic:nvPicPr>
                  <pic:blipFill>
                    <a:blip r:embed="rId16"/>
                    <a:srcRect b="0" l="0" r="0" t="0"/>
                    <a:stretch>
                      <a:fillRect/>
                    </a:stretch>
                  </pic:blipFill>
                  <pic:spPr>
                    <a:xfrm>
                      <a:off x="0" y="0"/>
                      <a:ext cx="4465749" cy="23770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C">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 This graph shows the total cost ($BN) to insurers of storms, floods and wildfires over various rolling average time periods. The graph shows the costs increasing from 1992-2022. </w:t>
      </w:r>
    </w:p>
    <w:p w:rsidR="00000000" w:rsidDel="00000000" w:rsidP="00000000" w:rsidRDefault="00000000" w:rsidRPr="00000000" w14:paraId="0000005D">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role could financial institutions and markets play in climate control? Could ‘climate cooling credits’ incentivise progres? </w:t>
      </w:r>
    </w:p>
    <w:p w:rsidR="00000000" w:rsidDel="00000000" w:rsidP="00000000" w:rsidRDefault="00000000" w:rsidRPr="00000000" w14:paraId="0000005E">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F">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resolution and accuracy of climate and weather prediction models has increased dramatically in recent years.</w:t>
      </w:r>
      <w:r w:rsidDel="00000000" w:rsidR="00000000" w:rsidRPr="00000000">
        <w:rPr>
          <w:rtl w:val="0"/>
        </w:rPr>
      </w:r>
    </w:p>
    <w:p w:rsidR="00000000" w:rsidDel="00000000" w:rsidP="00000000" w:rsidRDefault="00000000" w:rsidRPr="00000000" w14:paraId="00000060">
      <w:pPr>
        <w:ind w:left="72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ind w:left="72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2">
      <w:pPr>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152900" cy="3525424"/>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152900" cy="352542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Figure 4: This image is a cartoon, showing the increased resolution in climate models over the past 50 years. </w:t>
      </w:r>
    </w:p>
    <w:p w:rsidR="00000000" w:rsidDel="00000000" w:rsidP="00000000" w:rsidRDefault="00000000" w:rsidRPr="00000000" w14:paraId="00000064">
      <w:pPr>
        <w:ind w:left="72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65">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Progress in simulation and monitoring capabilities will allow for increasingly robust evaluation of the most effective and responsible options.</w:t>
      </w:r>
    </w:p>
    <w:p w:rsidR="00000000" w:rsidDel="00000000" w:rsidP="00000000" w:rsidRDefault="00000000" w:rsidRPr="00000000" w14:paraId="00000066">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7">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already conducting passive climate engineering experiments. In 2020, new rules led to an abrupt drop in global sulfur dioxide emissions from shipping. Sulfur dioxide forms aerosols that reflect sunlight, producing a net cooling effect. By 2050, the effect of removing sulfur dioxide from shipping fuel has been predicted to increase global temperatures by roughly the same amount as two additional years of carbon dioxide emissions at  current rates.</w:t>
      </w:r>
      <w:r w:rsidDel="00000000" w:rsidR="00000000" w:rsidRPr="00000000">
        <w:rPr>
          <w:rtl w:val="0"/>
        </w:rPr>
      </w:r>
    </w:p>
    <w:p w:rsidR="00000000" w:rsidDel="00000000" w:rsidP="00000000" w:rsidRDefault="00000000" w:rsidRPr="00000000" w14:paraId="00000068">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The scale of such “unintentional climate interventions provides perspective for small, carefully-controlled trials of climate and weather management methods.</w:t>
      </w:r>
    </w:p>
    <w:p w:rsidR="00000000" w:rsidDel="00000000" w:rsidP="00000000" w:rsidRDefault="00000000" w:rsidRPr="00000000" w14:paraId="00000069">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A">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B">
      <w:pPr>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98132" cy="2738438"/>
            <wp:effectExtent b="0" l="0" r="0" t="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698132"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This graph shows the additional warming in degrees predicted as a result of the International Maritime Organization’s regulations, introduced in 2020, to lower the sulfur content of shipping fuels. </w:t>
      </w:r>
    </w:p>
    <w:p w:rsidR="00000000" w:rsidDel="00000000" w:rsidP="00000000" w:rsidRDefault="00000000" w:rsidRPr="00000000" w14:paraId="0000006D">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E">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With a trusted, reliable, and responsible climate and weather control toolkit, interventions could be accurately predicted beforehand at both local and global scales, opening up possibilities for proactive management and mitigation strategies.</w:t>
      </w:r>
      <w:r w:rsidDel="00000000" w:rsidR="00000000" w:rsidRPr="00000000">
        <w:rPr>
          <w:rtl w:val="0"/>
        </w:rPr>
      </w:r>
    </w:p>
    <w:p w:rsidR="00000000" w:rsidDel="00000000" w:rsidP="00000000" w:rsidRDefault="00000000" w:rsidRPr="00000000" w14:paraId="0000006F">
      <w:pPr>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 from Mark — What possibilities would that open up? Mitigating severe weather events like droughts and hurricanes? Stopping the Arctic ice caps from melting? Greening the deserts? Terraforming other worlds? </w:t>
      </w:r>
    </w:p>
    <w:p w:rsidR="00000000" w:rsidDel="00000000" w:rsidP="00000000" w:rsidRDefault="00000000" w:rsidRPr="00000000" w14:paraId="00000070">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pStyle w:val="Heading1"/>
        <w:spacing w:line="276" w:lineRule="auto"/>
        <w:ind w:left="0" w:firstLine="0"/>
        <w:rPr>
          <w:rFonts w:ascii="Helvetica Neue" w:cs="Helvetica Neue" w:eastAsia="Helvetica Neue" w:hAnsi="Helvetica Neue"/>
          <w:b w:val="1"/>
          <w:color w:val="000000"/>
          <w:sz w:val="24"/>
          <w:szCs w:val="24"/>
        </w:rPr>
      </w:pPr>
      <w:bookmarkStart w:colFirst="0" w:colLast="0" w:name="_heading=h.tyjcwt" w:id="5"/>
      <w:bookmarkEnd w:id="5"/>
      <w:r w:rsidDel="00000000" w:rsidR="00000000" w:rsidRPr="00000000">
        <w:rPr>
          <w:rFonts w:ascii="Helvetica Neue" w:cs="Helvetica Neue" w:eastAsia="Helvetica Neue" w:hAnsi="Helvetica Neue"/>
          <w:b w:val="1"/>
          <w:color w:val="000000"/>
          <w:sz w:val="24"/>
          <w:szCs w:val="24"/>
          <w:rtl w:val="0"/>
        </w:rPr>
        <w:t xml:space="preserve">SOURCES</w:t>
      </w:r>
    </w:p>
    <w:p w:rsidR="00000000" w:rsidDel="00000000" w:rsidP="00000000" w:rsidRDefault="00000000" w:rsidRPr="00000000" w14:paraId="00000072">
      <w:pPr>
        <w:spacing w:line="276" w:lineRule="auto"/>
        <w:ind w:left="0" w:firstLine="0"/>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A compiled, but not exhaustive list of works helping to shape our view and frame the  opportunity space (for those who want to dig deeper). </w:t>
      </w:r>
    </w:p>
    <w:p w:rsidR="00000000" w:rsidDel="00000000" w:rsidP="00000000" w:rsidRDefault="00000000" w:rsidRPr="00000000" w14:paraId="00000073">
      <w:pPr>
        <w:numPr>
          <w:ilvl w:val="0"/>
          <w:numId w:val="2"/>
        </w:numPr>
        <w:ind w:left="720" w:hanging="36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sz w:val="24"/>
            <w:szCs w:val="24"/>
            <w:u w:val="single"/>
            <w:rtl w:val="0"/>
          </w:rPr>
          <w:t xml:space="preserve">The Great Tambora eruption in 1815 and its aftermath</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4">
      <w:pPr>
        <w:numPr>
          <w:ilvl w:val="0"/>
          <w:numId w:val="2"/>
        </w:numPr>
        <w:ind w:left="720" w:hanging="360"/>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sz w:val="24"/>
            <w:szCs w:val="24"/>
            <w:u w:val="single"/>
            <w:rtl w:val="0"/>
          </w:rPr>
          <w:t xml:space="preserve">Disentangling the causes of the 1816 European year without a summe</w:t>
        </w:r>
      </w:hyperlink>
      <w:hyperlink r:id="rId21">
        <w:r w:rsidDel="00000000" w:rsidR="00000000" w:rsidRPr="00000000">
          <w:rPr>
            <w:rFonts w:ascii="Helvetica Neue" w:cs="Helvetica Neue" w:eastAsia="Helvetica Neue" w:hAnsi="Helvetica Neue"/>
            <w:color w:val="1155cc"/>
            <w:sz w:val="24"/>
            <w:szCs w:val="24"/>
            <w:u w:val="single"/>
            <w:rtl w:val="0"/>
          </w:rPr>
          <w:t xml:space="preserve">r</w:t>
        </w:r>
      </w:hyperlink>
      <w:r w:rsidDel="00000000" w:rsidR="00000000" w:rsidRPr="00000000">
        <w:rPr>
          <w:rtl w:val="0"/>
        </w:rPr>
      </w:r>
    </w:p>
    <w:p w:rsidR="00000000" w:rsidDel="00000000" w:rsidP="00000000" w:rsidRDefault="00000000" w:rsidRPr="00000000" w14:paraId="00000075">
      <w:pPr>
        <w:numPr>
          <w:ilvl w:val="0"/>
          <w:numId w:val="2"/>
        </w:numPr>
        <w:ind w:left="720" w:hanging="36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sz w:val="24"/>
            <w:szCs w:val="24"/>
            <w:u w:val="single"/>
            <w:rtl w:val="0"/>
          </w:rPr>
          <w:t xml:space="preserve">Tambora and its relevance for future sunlight-blocking catastrophes </w:t>
        </w:r>
      </w:hyperlink>
      <w:r w:rsidDel="00000000" w:rsidR="00000000" w:rsidRPr="00000000">
        <w:rPr>
          <w:rFonts w:ascii="Helvetica Neue" w:cs="Helvetica Neue" w:eastAsia="Helvetica Neue" w:hAnsi="Helvetica Neue"/>
          <w:sz w:val="24"/>
          <w:szCs w:val="24"/>
          <w:rtl w:val="0"/>
        </w:rPr>
        <w:t xml:space="preserve">(Figure 1) </w:t>
      </w:r>
    </w:p>
    <w:p w:rsidR="00000000" w:rsidDel="00000000" w:rsidP="00000000" w:rsidRDefault="00000000" w:rsidRPr="00000000" w14:paraId="00000076">
      <w:pPr>
        <w:numPr>
          <w:ilvl w:val="0"/>
          <w:numId w:val="2"/>
        </w:numPr>
        <w:ind w:left="720" w:hanging="360"/>
        <w:rPr>
          <w:rFonts w:ascii="Jost" w:cs="Jost" w:eastAsia="Jost" w:hAnsi="Jost"/>
          <w:sz w:val="24"/>
          <w:szCs w:val="24"/>
        </w:rPr>
      </w:pPr>
      <w:hyperlink r:id="rId23">
        <w:r w:rsidDel="00000000" w:rsidR="00000000" w:rsidRPr="00000000">
          <w:rPr>
            <w:rFonts w:ascii="Helvetica Neue" w:cs="Helvetica Neue" w:eastAsia="Helvetica Neue" w:hAnsi="Helvetica Neue"/>
            <w:sz w:val="24"/>
            <w:szCs w:val="24"/>
            <w:u w:val="single"/>
            <w:rtl w:val="0"/>
          </w:rPr>
          <w:t xml:space="preserve">NOAA National Centers for Environmental Information </w:t>
        </w:r>
      </w:hyperlink>
      <w:hyperlink r:id="rId24">
        <w:r w:rsidDel="00000000" w:rsidR="00000000" w:rsidRPr="00000000">
          <w:rPr>
            <w:rFonts w:ascii="Helvetica Neue" w:cs="Helvetica Neue" w:eastAsia="Helvetica Neue" w:hAnsi="Helvetica Neue"/>
            <w:color w:val="4d5156"/>
            <w:sz w:val="21"/>
            <w:szCs w:val="21"/>
            <w:highlight w:val="white"/>
            <w:u w:val="single"/>
            <w:rtl w:val="0"/>
          </w:rPr>
          <w:t xml:space="preserve">—</w:t>
        </w:r>
      </w:hyperlink>
      <w:hyperlink r:id="rId25">
        <w:r w:rsidDel="00000000" w:rsidR="00000000" w:rsidRPr="00000000">
          <w:rPr>
            <w:rFonts w:ascii="Helvetica Neue" w:cs="Helvetica Neue" w:eastAsia="Helvetica Neue" w:hAnsi="Helvetica Neue"/>
            <w:sz w:val="24"/>
            <w:szCs w:val="24"/>
            <w:u w:val="single"/>
            <w:rtl w:val="0"/>
          </w:rPr>
          <w:t xml:space="preserve"> global climate report for 2022</w:t>
        </w:r>
      </w:hyperlink>
      <w:r w:rsidDel="00000000" w:rsidR="00000000" w:rsidRPr="00000000">
        <w:rPr>
          <w:rtl w:val="0"/>
        </w:rPr>
      </w:r>
    </w:p>
    <w:p w:rsidR="00000000" w:rsidDel="00000000" w:rsidP="00000000" w:rsidRDefault="00000000" w:rsidRPr="00000000" w14:paraId="00000077">
      <w:pPr>
        <w:numPr>
          <w:ilvl w:val="0"/>
          <w:numId w:val="2"/>
        </w:numPr>
        <w:ind w:left="720" w:hanging="360"/>
        <w:rPr>
          <w:rFonts w:ascii="Helvetica Neue" w:cs="Helvetica Neue" w:eastAsia="Helvetica Neue" w:hAnsi="Helvetica Neue"/>
          <w:sz w:val="24"/>
          <w:szCs w:val="24"/>
        </w:rPr>
      </w:pPr>
      <w:hyperlink r:id="rId26">
        <w:r w:rsidDel="00000000" w:rsidR="00000000" w:rsidRPr="00000000">
          <w:rPr>
            <w:rFonts w:ascii="Helvetica Neue" w:cs="Helvetica Neue" w:eastAsia="Helvetica Neue" w:hAnsi="Helvetica Neue"/>
            <w:sz w:val="24"/>
            <w:szCs w:val="24"/>
            <w:u w:val="single"/>
            <w:rtl w:val="0"/>
          </w:rPr>
          <w:t xml:space="preserve">The time lag between a carbon dioxide emission and maximum warming increases with the size of the emission</w:t>
        </w:r>
      </w:hyperlink>
      <w:r w:rsidDel="00000000" w:rsidR="00000000" w:rsidRPr="00000000">
        <w:rPr>
          <w:rtl w:val="0"/>
        </w:rPr>
      </w:r>
    </w:p>
    <w:p w:rsidR="00000000" w:rsidDel="00000000" w:rsidP="00000000" w:rsidRDefault="00000000" w:rsidRPr="00000000" w14:paraId="00000078">
      <w:pPr>
        <w:numPr>
          <w:ilvl w:val="0"/>
          <w:numId w:val="2"/>
        </w:numPr>
        <w:ind w:left="720" w:hanging="360"/>
        <w:rPr>
          <w:rFonts w:ascii="Jost" w:cs="Jost" w:eastAsia="Jost" w:hAnsi="Jost"/>
          <w:sz w:val="24"/>
          <w:szCs w:val="24"/>
        </w:rPr>
      </w:pPr>
      <w:hyperlink r:id="rId27">
        <w:r w:rsidDel="00000000" w:rsidR="00000000" w:rsidRPr="00000000">
          <w:rPr>
            <w:rFonts w:ascii="Helvetica Neue" w:cs="Helvetica Neue" w:eastAsia="Helvetica Neue" w:hAnsi="Helvetica Neue"/>
            <w:sz w:val="24"/>
            <w:szCs w:val="24"/>
            <w:u w:val="single"/>
            <w:rtl w:val="0"/>
          </w:rPr>
          <w:t xml:space="preserve">World Meteorological Organization </w:t>
        </w:r>
      </w:hyperlink>
      <w:hyperlink r:id="rId28">
        <w:r w:rsidDel="00000000" w:rsidR="00000000" w:rsidRPr="00000000">
          <w:rPr>
            <w:rFonts w:ascii="Helvetica Neue" w:cs="Helvetica Neue" w:eastAsia="Helvetica Neue" w:hAnsi="Helvetica Neue"/>
            <w:color w:val="4d5156"/>
            <w:sz w:val="21"/>
            <w:szCs w:val="21"/>
            <w:highlight w:val="white"/>
            <w:u w:val="single"/>
            <w:rtl w:val="0"/>
          </w:rPr>
          <w:t xml:space="preserve">— </w:t>
        </w:r>
      </w:hyperlink>
      <w:hyperlink r:id="rId29">
        <w:r w:rsidDel="00000000" w:rsidR="00000000" w:rsidRPr="00000000">
          <w:rPr>
            <w:rFonts w:ascii="Helvetica Neue" w:cs="Helvetica Neue" w:eastAsia="Helvetica Neue" w:hAnsi="Helvetica Neue"/>
            <w:sz w:val="24"/>
            <w:szCs w:val="24"/>
            <w:u w:val="single"/>
            <w:rtl w:val="0"/>
          </w:rPr>
          <w:t xml:space="preserve">global temperatures set to reach new records in next five year</w:t>
        </w:r>
      </w:hyperlink>
      <w:r w:rsidDel="00000000" w:rsidR="00000000" w:rsidRPr="00000000">
        <w:rPr>
          <w:rFonts w:ascii="Helvetica Neue" w:cs="Helvetica Neue" w:eastAsia="Helvetica Neue" w:hAnsi="Helvetica Neue"/>
          <w:sz w:val="24"/>
          <w:szCs w:val="24"/>
          <w:u w:val="single"/>
          <w:rtl w:val="0"/>
        </w:rPr>
        <w:t xml:space="preserve">s</w:t>
      </w:r>
      <w:r w:rsidDel="00000000" w:rsidR="00000000" w:rsidRPr="00000000">
        <w:rPr>
          <w:rtl w:val="0"/>
        </w:rPr>
      </w:r>
    </w:p>
    <w:p w:rsidR="00000000" w:rsidDel="00000000" w:rsidP="00000000" w:rsidRDefault="00000000" w:rsidRPr="00000000" w14:paraId="00000079">
      <w:pPr>
        <w:numPr>
          <w:ilvl w:val="0"/>
          <w:numId w:val="2"/>
        </w:numPr>
        <w:ind w:left="720" w:hanging="360"/>
        <w:rPr>
          <w:rFonts w:ascii="Helvetica Neue" w:cs="Helvetica Neue" w:eastAsia="Helvetica Neue" w:hAnsi="Helvetica Neue"/>
          <w:sz w:val="24"/>
          <w:szCs w:val="24"/>
        </w:rPr>
      </w:pPr>
      <w:hyperlink r:id="rId30">
        <w:r w:rsidDel="00000000" w:rsidR="00000000" w:rsidRPr="00000000">
          <w:rPr>
            <w:rFonts w:ascii="Helvetica Neue" w:cs="Helvetica Neue" w:eastAsia="Helvetica Neue" w:hAnsi="Helvetica Neue"/>
            <w:sz w:val="24"/>
            <w:szCs w:val="24"/>
            <w:u w:val="single"/>
            <w:rtl w:val="0"/>
          </w:rPr>
          <w:t xml:space="preserve">Intergovernmental Panel on Climate Change’s sixth assessment report</w:t>
        </w:r>
      </w:hyperlink>
      <w:r w:rsidDel="00000000" w:rsidR="00000000" w:rsidRPr="00000000">
        <w:rPr>
          <w:rFonts w:ascii="Helvetica Neue" w:cs="Helvetica Neue" w:eastAsia="Helvetica Neue" w:hAnsi="Helvetica Neue"/>
          <w:sz w:val="24"/>
          <w:szCs w:val="24"/>
          <w:rtl w:val="0"/>
        </w:rPr>
        <w:t xml:space="preserve"> (Figure 2)</w:t>
      </w:r>
    </w:p>
    <w:p w:rsidR="00000000" w:rsidDel="00000000" w:rsidP="00000000" w:rsidRDefault="00000000" w:rsidRPr="00000000" w14:paraId="0000007A">
      <w:pPr>
        <w:numPr>
          <w:ilvl w:val="0"/>
          <w:numId w:val="2"/>
        </w:numPr>
        <w:ind w:left="720" w:hanging="360"/>
        <w:rPr>
          <w:rFonts w:ascii="Helvetica Neue" w:cs="Helvetica Neue" w:eastAsia="Helvetica Neue" w:hAnsi="Helvetica Neue"/>
          <w:sz w:val="24"/>
          <w:szCs w:val="24"/>
        </w:rPr>
      </w:pPr>
      <w:hyperlink r:id="rId31">
        <w:r w:rsidDel="00000000" w:rsidR="00000000" w:rsidRPr="00000000">
          <w:rPr>
            <w:rFonts w:ascii="Helvetica Neue" w:cs="Helvetica Neue" w:eastAsia="Helvetica Neue" w:hAnsi="Helvetica Neue"/>
            <w:sz w:val="24"/>
            <w:szCs w:val="24"/>
            <w:u w:val="single"/>
            <w:rtl w:val="0"/>
          </w:rPr>
          <w:t xml:space="preserve">Observationally-constrained Projections of an ice-free Arctic even under a low emission scenario</w:t>
        </w:r>
      </w:hyperlink>
      <w:r w:rsidDel="00000000" w:rsidR="00000000" w:rsidRPr="00000000">
        <w:rPr>
          <w:rtl w:val="0"/>
        </w:rPr>
      </w:r>
    </w:p>
    <w:p w:rsidR="00000000" w:rsidDel="00000000" w:rsidP="00000000" w:rsidRDefault="00000000" w:rsidRPr="00000000" w14:paraId="0000007B">
      <w:pPr>
        <w:numPr>
          <w:ilvl w:val="0"/>
          <w:numId w:val="2"/>
        </w:numPr>
        <w:ind w:left="720" w:hanging="360"/>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sz w:val="24"/>
            <w:szCs w:val="24"/>
            <w:u w:val="single"/>
            <w:rtl w:val="0"/>
          </w:rPr>
          <w:t xml:space="preserve">Exceeding 1.5°C global warming could trigger multiple climate tipping points</w:t>
        </w:r>
      </w:hyperlink>
      <w:r w:rsidDel="00000000" w:rsidR="00000000" w:rsidRPr="00000000">
        <w:rPr>
          <w:rtl w:val="0"/>
        </w:rPr>
      </w:r>
    </w:p>
    <w:p w:rsidR="00000000" w:rsidDel="00000000" w:rsidP="00000000" w:rsidRDefault="00000000" w:rsidRPr="00000000" w14:paraId="0000007C">
      <w:pPr>
        <w:numPr>
          <w:ilvl w:val="0"/>
          <w:numId w:val="2"/>
        </w:numPr>
        <w:ind w:left="720" w:hanging="360"/>
        <w:rPr>
          <w:rFonts w:ascii="Helvetica Neue" w:cs="Helvetica Neue" w:eastAsia="Helvetica Neue" w:hAnsi="Helvetica Neue"/>
          <w:sz w:val="24"/>
          <w:szCs w:val="24"/>
        </w:rPr>
      </w:pPr>
      <w:hyperlink r:id="rId33">
        <w:r w:rsidDel="00000000" w:rsidR="00000000" w:rsidRPr="00000000">
          <w:rPr>
            <w:rFonts w:ascii="Helvetica Neue" w:cs="Helvetica Neue" w:eastAsia="Helvetica Neue" w:hAnsi="Helvetica Neue"/>
            <w:sz w:val="24"/>
            <w:szCs w:val="24"/>
            <w:u w:val="single"/>
            <w:rtl w:val="0"/>
          </w:rPr>
          <w:t xml:space="preserve">Tipping elements in the earth’s climate system</w:t>
        </w:r>
      </w:hyperlink>
      <w:r w:rsidDel="00000000" w:rsidR="00000000" w:rsidRPr="00000000">
        <w:rPr>
          <w:rtl w:val="0"/>
        </w:rPr>
      </w:r>
    </w:p>
    <w:p w:rsidR="00000000" w:rsidDel="00000000" w:rsidP="00000000" w:rsidRDefault="00000000" w:rsidRPr="00000000" w14:paraId="0000007D">
      <w:pPr>
        <w:numPr>
          <w:ilvl w:val="0"/>
          <w:numId w:val="2"/>
        </w:numPr>
        <w:ind w:left="720" w:hanging="360"/>
        <w:rPr>
          <w:rFonts w:ascii="Jost" w:cs="Jost" w:eastAsia="Jost" w:hAnsi="Jost"/>
          <w:sz w:val="24"/>
          <w:szCs w:val="24"/>
        </w:rPr>
      </w:pPr>
      <w:hyperlink r:id="rId34">
        <w:r w:rsidDel="00000000" w:rsidR="00000000" w:rsidRPr="00000000">
          <w:rPr>
            <w:rFonts w:ascii="Helvetica Neue" w:cs="Helvetica Neue" w:eastAsia="Helvetica Neue" w:hAnsi="Helvetica Neue"/>
            <w:sz w:val="24"/>
            <w:szCs w:val="24"/>
            <w:u w:val="single"/>
            <w:rtl w:val="0"/>
          </w:rPr>
          <w:t xml:space="preserve">The geoengineering model intercomparison project phase 6 (GeoMIP6) </w:t>
        </w:r>
      </w:hyperlink>
      <w:hyperlink r:id="rId35">
        <w:r w:rsidDel="00000000" w:rsidR="00000000" w:rsidRPr="00000000">
          <w:rPr>
            <w:rFonts w:ascii="Helvetica Neue" w:cs="Helvetica Neue" w:eastAsia="Helvetica Neue" w:hAnsi="Helvetica Neue"/>
            <w:color w:val="4d5156"/>
            <w:sz w:val="21"/>
            <w:szCs w:val="21"/>
            <w:highlight w:val="white"/>
            <w:u w:val="single"/>
            <w:rtl w:val="0"/>
          </w:rPr>
          <w:t xml:space="preserve">— </w:t>
        </w:r>
      </w:hyperlink>
      <w:hyperlink r:id="rId36">
        <w:r w:rsidDel="00000000" w:rsidR="00000000" w:rsidRPr="00000000">
          <w:rPr>
            <w:rFonts w:ascii="Helvetica Neue" w:cs="Helvetica Neue" w:eastAsia="Helvetica Neue" w:hAnsi="Helvetica Neue"/>
            <w:sz w:val="24"/>
            <w:szCs w:val="24"/>
            <w:u w:val="single"/>
            <w:rtl w:val="0"/>
          </w:rPr>
          <w:t xml:space="preserve">simulation design and preliminary results</w:t>
        </w:r>
      </w:hyperlink>
      <w:r w:rsidDel="00000000" w:rsidR="00000000" w:rsidRPr="00000000">
        <w:rPr>
          <w:rtl w:val="0"/>
        </w:rPr>
      </w:r>
    </w:p>
    <w:p w:rsidR="00000000" w:rsidDel="00000000" w:rsidP="00000000" w:rsidRDefault="00000000" w:rsidRPr="00000000" w14:paraId="0000007E">
      <w:pPr>
        <w:numPr>
          <w:ilvl w:val="0"/>
          <w:numId w:val="2"/>
        </w:numPr>
        <w:ind w:left="720" w:hanging="360"/>
        <w:rPr>
          <w:rFonts w:ascii="Helvetica Neue" w:cs="Helvetica Neue" w:eastAsia="Helvetica Neue" w:hAnsi="Helvetica Neue"/>
          <w:sz w:val="24"/>
          <w:szCs w:val="24"/>
        </w:rPr>
      </w:pPr>
      <w:hyperlink r:id="rId37">
        <w:r w:rsidDel="00000000" w:rsidR="00000000" w:rsidRPr="00000000">
          <w:rPr>
            <w:rFonts w:ascii="Helvetica Neue" w:cs="Helvetica Neue" w:eastAsia="Helvetica Neue" w:hAnsi="Helvetica Neue"/>
            <w:sz w:val="24"/>
            <w:szCs w:val="24"/>
            <w:u w:val="single"/>
            <w:rtl w:val="0"/>
          </w:rPr>
          <w:t xml:space="preserve">Geoengineering the climate: science, governance and uncertainty</w:t>
        </w:r>
      </w:hyperlink>
      <w:r w:rsidDel="00000000" w:rsidR="00000000" w:rsidRPr="00000000">
        <w:rPr>
          <w:rtl w:val="0"/>
        </w:rPr>
      </w:r>
    </w:p>
    <w:p w:rsidR="00000000" w:rsidDel="00000000" w:rsidP="00000000" w:rsidRDefault="00000000" w:rsidRPr="00000000" w14:paraId="0000007F">
      <w:pPr>
        <w:numPr>
          <w:ilvl w:val="0"/>
          <w:numId w:val="2"/>
        </w:numPr>
        <w:ind w:left="720" w:hanging="360"/>
        <w:rPr>
          <w:rFonts w:ascii="Helvetica Neue" w:cs="Helvetica Neue" w:eastAsia="Helvetica Neue" w:hAnsi="Helvetica Neue"/>
          <w:sz w:val="24"/>
          <w:szCs w:val="24"/>
        </w:rPr>
      </w:pPr>
      <w:hyperlink r:id="rId38">
        <w:r w:rsidDel="00000000" w:rsidR="00000000" w:rsidRPr="00000000">
          <w:rPr>
            <w:rFonts w:ascii="Helvetica Neue" w:cs="Helvetica Neue" w:eastAsia="Helvetica Neue" w:hAnsi="Helvetica Neue"/>
            <w:sz w:val="24"/>
            <w:szCs w:val="24"/>
            <w:u w:val="single"/>
            <w:rtl w:val="0"/>
          </w:rPr>
          <w:t xml:space="preserve">Analysis: How low-sulphur shipping rules are affecting global warming</w:t>
        </w:r>
      </w:hyperlink>
      <w:r w:rsidDel="00000000" w:rsidR="00000000" w:rsidRPr="00000000">
        <w:rPr>
          <w:rFonts w:ascii="Helvetica Neue" w:cs="Helvetica Neue" w:eastAsia="Helvetica Neue" w:hAnsi="Helvetica Neue"/>
          <w:sz w:val="24"/>
          <w:szCs w:val="24"/>
          <w:rtl w:val="0"/>
        </w:rPr>
        <w:t xml:space="preserve"> (Figure 5) </w:t>
      </w:r>
    </w:p>
    <w:p w:rsidR="00000000" w:rsidDel="00000000" w:rsidP="00000000" w:rsidRDefault="00000000" w:rsidRPr="00000000" w14:paraId="00000080">
      <w:pPr>
        <w:numPr>
          <w:ilvl w:val="0"/>
          <w:numId w:val="2"/>
        </w:numPr>
        <w:ind w:left="720" w:hanging="360"/>
        <w:rPr>
          <w:rFonts w:ascii="Helvetica Neue" w:cs="Helvetica Neue" w:eastAsia="Helvetica Neue" w:hAnsi="Helvetica Neue"/>
          <w:sz w:val="24"/>
          <w:szCs w:val="24"/>
        </w:rPr>
      </w:pPr>
      <w:hyperlink r:id="rId39">
        <w:r w:rsidDel="00000000" w:rsidR="00000000" w:rsidRPr="00000000">
          <w:rPr>
            <w:rFonts w:ascii="Helvetica Neue" w:cs="Helvetica Neue" w:eastAsia="Helvetica Neue" w:hAnsi="Helvetica Neue"/>
            <w:sz w:val="24"/>
            <w:szCs w:val="24"/>
            <w:u w:val="single"/>
            <w:rtl w:val="0"/>
          </w:rPr>
          <w:t xml:space="preserve">Medium ​​- Global insured losses from natural catastrophe events in 2022</w:t>
        </w:r>
      </w:hyperlink>
      <w:r w:rsidDel="00000000" w:rsidR="00000000" w:rsidRPr="00000000">
        <w:rPr>
          <w:rFonts w:ascii="Helvetica Neue" w:cs="Helvetica Neue" w:eastAsia="Helvetica Neue" w:hAnsi="Helvetica Neue"/>
          <w:sz w:val="24"/>
          <w:szCs w:val="24"/>
          <w:rtl w:val="0"/>
        </w:rPr>
        <w:t xml:space="preserve"> (Figure 3) </w:t>
      </w:r>
    </w:p>
    <w:p w:rsidR="00000000" w:rsidDel="00000000" w:rsidP="00000000" w:rsidRDefault="00000000" w:rsidRPr="00000000" w14:paraId="00000081">
      <w:pPr>
        <w:numPr>
          <w:ilvl w:val="0"/>
          <w:numId w:val="2"/>
        </w:numPr>
        <w:ind w:left="720" w:hanging="360"/>
        <w:rPr>
          <w:rFonts w:ascii="Helvetica Neue" w:cs="Helvetica Neue" w:eastAsia="Helvetica Neue" w:hAnsi="Helvetica Neue"/>
          <w:sz w:val="24"/>
          <w:szCs w:val="24"/>
        </w:rPr>
      </w:pPr>
      <w:hyperlink r:id="rId40">
        <w:r w:rsidDel="00000000" w:rsidR="00000000" w:rsidRPr="00000000">
          <w:rPr>
            <w:rFonts w:ascii="Helvetica Neue" w:cs="Helvetica Neue" w:eastAsia="Helvetica Neue" w:hAnsi="Helvetica Neue"/>
            <w:sz w:val="24"/>
            <w:szCs w:val="24"/>
            <w:u w:val="single"/>
            <w:rtl w:val="0"/>
          </w:rPr>
          <w:t xml:space="preserve">Climate change 2007: the physical science basis</w:t>
        </w:r>
      </w:hyperlink>
      <w:r w:rsidDel="00000000" w:rsidR="00000000" w:rsidRPr="00000000">
        <w:rPr>
          <w:rFonts w:ascii="Helvetica Neue" w:cs="Helvetica Neue" w:eastAsia="Helvetica Neue" w:hAnsi="Helvetica Neue"/>
          <w:sz w:val="24"/>
          <w:szCs w:val="24"/>
          <w:rtl w:val="0"/>
        </w:rPr>
        <w:t xml:space="preserve"> (Figure 4) </w:t>
      </w:r>
    </w:p>
    <w:p w:rsidR="00000000" w:rsidDel="00000000" w:rsidP="00000000" w:rsidRDefault="00000000" w:rsidRPr="00000000" w14:paraId="00000082">
      <w:pPr>
        <w:pStyle w:val="Heading1"/>
        <w:spacing w:line="276" w:lineRule="auto"/>
        <w:ind w:left="0" w:firstLine="0"/>
        <w:rPr>
          <w:rFonts w:ascii="Helvetica Neue" w:cs="Helvetica Neue" w:eastAsia="Helvetica Neue" w:hAnsi="Helvetica Neue"/>
          <w:b w:val="1"/>
          <w:color w:val="000000"/>
          <w:sz w:val="24"/>
          <w:szCs w:val="24"/>
        </w:rPr>
      </w:pPr>
      <w:bookmarkStart w:colFirst="0" w:colLast="0" w:name="_heading=h.3dy6vkm" w:id="6"/>
      <w:bookmarkEnd w:id="6"/>
      <w:r w:rsidDel="00000000" w:rsidR="00000000" w:rsidRPr="00000000">
        <w:rPr>
          <w:rFonts w:ascii="Helvetica Neue" w:cs="Helvetica Neue" w:eastAsia="Helvetica Neue" w:hAnsi="Helvetica Neue"/>
          <w:b w:val="1"/>
          <w:color w:val="000000"/>
          <w:sz w:val="24"/>
          <w:szCs w:val="24"/>
          <w:rtl w:val="0"/>
        </w:rPr>
        <w:br w:type="textWrapping"/>
        <w:t xml:space="preserve">ENGAGE</w:t>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invite you to shape our efforts by providing feedback and surfacing breakthrough ideas related to this opportunity space. Our next step will be to formulate a programme that directs funding across research disciplines or institutions toward a focused objective. We also plan to open up seed funding for researchers whose bold aspirations are unlikely to be funded elsewhere.</w:t>
      </w:r>
    </w:p>
    <w:p w:rsidR="00000000" w:rsidDel="00000000" w:rsidP="00000000" w:rsidRDefault="00000000" w:rsidRPr="00000000" w14:paraId="0000008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tl w:val="0"/>
        </w:rPr>
        <w:t xml:space="preserve">Sign up for updates and share your feedback at </w:t>
      </w:r>
      <w:hyperlink r:id="rId41">
        <w:r w:rsidDel="00000000" w:rsidR="00000000" w:rsidRPr="00000000">
          <w:rPr>
            <w:rFonts w:ascii="Helvetica Neue" w:cs="Helvetica Neue" w:eastAsia="Helvetica Neue" w:hAnsi="Helvetica Neue"/>
            <w:color w:val="1155cc"/>
            <w:sz w:val="24"/>
            <w:szCs w:val="24"/>
            <w:u w:val="single"/>
            <w:rtl w:val="0"/>
          </w:rPr>
          <w:t xml:space="preserve">www.aria.org.uk/contact-mark</w:t>
        </w:r>
      </w:hyperlink>
      <w:r w:rsidDel="00000000" w:rsidR="00000000" w:rsidRPr="00000000">
        <w:rPr>
          <w:rFonts w:ascii="Helvetica Neue" w:cs="Helvetica Neue" w:eastAsia="Helvetica Neue" w:hAnsi="Helvetica Neue"/>
          <w:sz w:val="24"/>
          <w:szCs w:val="24"/>
          <w:rtl w:val="0"/>
        </w:rPr>
        <w:t xml:space="preserve"> — we will read anything you send.</w:t>
      </w: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Light" w:cs="Jost Light" w:eastAsia="Jost Light" w:hAnsi="Jost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ind w:left="283.46456692913375" w:hanging="36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ind w:left="283.46456692913375" w:hanging="36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rchive.ipcc.ch/publications_and_data/ar4/wg1/en/contents.html" TargetMode="External"/><Relationship Id="rId20" Type="http://schemas.openxmlformats.org/officeDocument/2006/relationships/hyperlink" Target="https://doi.org/10.1088/1748-9326/ab3a10" TargetMode="External"/><Relationship Id="rId41" Type="http://schemas.openxmlformats.org/officeDocument/2006/relationships/hyperlink" Target="http://www.aria.org.uk/contact-mark" TargetMode="External"/><Relationship Id="rId22" Type="http://schemas.openxmlformats.org/officeDocument/2006/relationships/hyperlink" Target="https://doi.org/10.1038/s41598-023-30729-2" TargetMode="External"/><Relationship Id="rId21" Type="http://schemas.openxmlformats.org/officeDocument/2006/relationships/hyperlink" Target="https://doi.org/10.1088/1748-9326/ab3a10" TargetMode="External"/><Relationship Id="rId24" Type="http://schemas.openxmlformats.org/officeDocument/2006/relationships/hyperlink" Target="https://www.ncei.noaa.gov/access/monitoring/monthly-report/global/202213" TargetMode="External"/><Relationship Id="rId23" Type="http://schemas.openxmlformats.org/officeDocument/2006/relationships/hyperlink" Target="https://www.ncei.noaa.gov/access/monitoring/monthly-report/global/2022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4/05/ACCESSIBLE-_-Exploring-Options-for-Actively-Cooling-the-Earth.docx" TargetMode="External"/><Relationship Id="rId26" Type="http://schemas.openxmlformats.org/officeDocument/2006/relationships/hyperlink" Target="https://iopscience.iop.org/article/10.1088/1748-9326/10/3/031001" TargetMode="External"/><Relationship Id="rId25" Type="http://schemas.openxmlformats.org/officeDocument/2006/relationships/hyperlink" Target="https://www.ncei.noaa.gov/access/monitoring/monthly-report/global/202213" TargetMode="External"/><Relationship Id="rId28" Type="http://schemas.openxmlformats.org/officeDocument/2006/relationships/hyperlink" Target="https://public.wmo.int/en/media/press-release/global-temperatures-set-reach-new-records-next-five-years" TargetMode="External"/><Relationship Id="rId27" Type="http://schemas.openxmlformats.org/officeDocument/2006/relationships/hyperlink" Target="https://public.wmo.int/en/media/press-release/global-temperatures-set-reach-new-records-next-five-year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ublic.wmo.int/en/media/press-release/global-temperatures-set-reach-new-records-next-five-years" TargetMode="External"/><Relationship Id="rId7" Type="http://schemas.openxmlformats.org/officeDocument/2006/relationships/image" Target="media/image2.png"/><Relationship Id="rId8" Type="http://schemas.openxmlformats.org/officeDocument/2006/relationships/hyperlink" Target="http://www.aria.org.uk/opportunity-space-updates" TargetMode="External"/><Relationship Id="rId31" Type="http://schemas.openxmlformats.org/officeDocument/2006/relationships/hyperlink" Target="https://doi.org/10.1038/s41467-023-38511-8" TargetMode="External"/><Relationship Id="rId30" Type="http://schemas.openxmlformats.org/officeDocument/2006/relationships/hyperlink" Target="https://www.ipcc.ch/assessment-report/ar6/" TargetMode="External"/><Relationship Id="rId11" Type="http://schemas.openxmlformats.org/officeDocument/2006/relationships/hyperlink" Target="https://ariaresearch.substack.com/p/833c81a3-bac9-4a51-ab17-0b90ee95a87e" TargetMode="External"/><Relationship Id="rId33" Type="http://schemas.openxmlformats.org/officeDocument/2006/relationships/hyperlink" Target="https://doi.org/10.1073/pnas.0705414105" TargetMode="External"/><Relationship Id="rId10" Type="http://schemas.openxmlformats.org/officeDocument/2006/relationships/hyperlink" Target="http://www.aria.org.uk/exploring-climate-cooling" TargetMode="External"/><Relationship Id="rId32" Type="http://schemas.openxmlformats.org/officeDocument/2006/relationships/hyperlink" Target="https://doi.org/10.1126/science.abn7950" TargetMode="External"/><Relationship Id="rId13" Type="http://schemas.openxmlformats.org/officeDocument/2006/relationships/hyperlink" Target="https://ariaresearch.substack.com/p/833c81a3-bac9-4a51-ab17-0b90ee95a87e" TargetMode="External"/><Relationship Id="rId35" Type="http://schemas.openxmlformats.org/officeDocument/2006/relationships/hyperlink" Target="https://doi.org/10.5194/gmd-8-3379-2015" TargetMode="External"/><Relationship Id="rId12" Type="http://schemas.openxmlformats.org/officeDocument/2006/relationships/hyperlink" Target="https://ariaresearch.substack.com/p/833c81a3-bac9-4a51-ab17-0b90ee95a87e" TargetMode="External"/><Relationship Id="rId34" Type="http://schemas.openxmlformats.org/officeDocument/2006/relationships/hyperlink" Target="https://doi.org/10.5194/gmd-8-3379-2015" TargetMode="External"/><Relationship Id="rId15" Type="http://schemas.openxmlformats.org/officeDocument/2006/relationships/image" Target="media/image1.png"/><Relationship Id="rId37" Type="http://schemas.openxmlformats.org/officeDocument/2006/relationships/hyperlink" Target="https://royalsociety.org/topics-policy/publications/2009/geoengineering-climate/" TargetMode="External"/><Relationship Id="rId14" Type="http://schemas.openxmlformats.org/officeDocument/2006/relationships/image" Target="media/image3.png"/><Relationship Id="rId36" Type="http://schemas.openxmlformats.org/officeDocument/2006/relationships/hyperlink" Target="https://doi.org/10.5194/gmd-8-3379-2015" TargetMode="External"/><Relationship Id="rId17" Type="http://schemas.openxmlformats.org/officeDocument/2006/relationships/image" Target="media/image4.png"/><Relationship Id="rId39" Type="http://schemas.openxmlformats.org/officeDocument/2006/relationships/hyperlink" Target="https://medium.com/@Beinsure/global-insured-losses-from-natural-catastrophe-events-in-2022-4f64359673e6" TargetMode="External"/><Relationship Id="rId16" Type="http://schemas.openxmlformats.org/officeDocument/2006/relationships/image" Target="media/image5.png"/><Relationship Id="rId38" Type="http://schemas.openxmlformats.org/officeDocument/2006/relationships/hyperlink" Target="https://www.carbonbrief.org/analysis-how-low-sulphur-shipping-rules-are-affecting-global-warming/" TargetMode="External"/><Relationship Id="rId19" Type="http://schemas.openxmlformats.org/officeDocument/2006/relationships/hyperlink" Target="https://doi.org/10.1126/science.224.4654.1191"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Light-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JostMedium-regular.ttf"/><Relationship Id="rId12" Type="http://schemas.openxmlformats.org/officeDocument/2006/relationships/font" Target="fonts/HelveticaNeue-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HelveticaNeue-regular.ttf"/><Relationship Id="rId15" Type="http://schemas.openxmlformats.org/officeDocument/2006/relationships/font" Target="fonts/JostMedium-italic.ttf"/><Relationship Id="rId14" Type="http://schemas.openxmlformats.org/officeDocument/2006/relationships/font" Target="fonts/JostMedium-bold.ttf"/><Relationship Id="rId17" Type="http://schemas.openxmlformats.org/officeDocument/2006/relationships/font" Target="fonts/HelveticaNeueLight-regular.ttf"/><Relationship Id="rId16" Type="http://schemas.openxmlformats.org/officeDocument/2006/relationships/font" Target="fonts/JostMedium-boldItalic.ttf"/><Relationship Id="rId5" Type="http://schemas.openxmlformats.org/officeDocument/2006/relationships/font" Target="fonts/Jost-regular.ttf"/><Relationship Id="rId19" Type="http://schemas.openxmlformats.org/officeDocument/2006/relationships/font" Target="fonts/HelveticaNeueLight-italic.ttf"/><Relationship Id="rId6" Type="http://schemas.openxmlformats.org/officeDocument/2006/relationships/font" Target="fonts/Jost-bold.ttf"/><Relationship Id="rId18" Type="http://schemas.openxmlformats.org/officeDocument/2006/relationships/font" Target="fonts/HelveticaNeueLigh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z4bEHcO/PthaxpQ++amH9tx1w==">CgMxLjAaLQoBMBIoCiYIB0IiCg5IZWx2ZXRpY2EgTmV1ZRIQQXJpYWwgVW5pY29kZSBNUxotCgExEigKJggHQiIKDkhlbHZldGljYSBOZXVlEhBBcmlhbCBVbmljb2RlIE1TGi0KATISKAomCAdCIgoOSGVsdmV0aWNhIE5ldWUSEEFyaWFsIFVuaWNvZGUgTVMyCGguZ2pkZ3hzMgloLjMwajB6bGwyCWguMWZvYjl0ZTIJaC4zem55c2g3MgloLjJldDkycDAyCGgudHlqY3d0MgloLjNkeTZ2a204AHIhMWZpMEpqYWJqcm9PN0xXSE5GNnVxSE5PczFORWxYOF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