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00" w:line="276" w:lineRule="auto"/>
        <w:ind w:left="0" w:firstLine="0"/>
      </w:pPr>
      <w:r>
        <w:drawing xmlns:a="http://schemas.openxmlformats.org/drawingml/2006/main">
          <wp:inline distT="0" distB="0" distL="0" distR="0">
            <wp:extent cx="1566863" cy="613586"/>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1566863" cy="613586"/>
                    </a:xfrm>
                    <a:prstGeom prst="rect">
                      <a:avLst/>
                    </a:prstGeom>
                    <a:ln w="12700" cap="flat">
                      <a:noFill/>
                      <a:miter lim="400000"/>
                    </a:ln>
                    <a:effectLst/>
                  </pic:spPr>
                </pic:pic>
              </a:graphicData>
            </a:graphic>
          </wp:inline>
        </w:drawing>
      </w:r>
      <w:r>
        <w:rPr>
          <w:rtl w:val="0"/>
        </w:rPr>
        <w:t xml:space="preserve">                                                                                                        </w:t>
      </w:r>
      <w:r>
        <w:rPr>
          <w:rtl w:val="0"/>
        </w:rPr>
        <w:t xml:space="preserve">         </w:t>
      </w:r>
      <w:r>
        <w:rPr>
          <w:rtl w:val="0"/>
        </w:rPr>
        <w:t xml:space="preserve">                                                                                                              </w:t>
      </w:r>
    </w:p>
    <w:p>
      <w:pPr>
        <w:pStyle w:val="Title"/>
        <w:spacing w:line="276" w:lineRule="auto"/>
        <w:ind w:left="0" w:firstLine="0"/>
        <w:rPr>
          <w:rFonts w:ascii="Jost Bold" w:cs="Jost Bold" w:hAnsi="Jost Bold" w:eastAsia="Jost Bold"/>
          <w:sz w:val="28"/>
          <w:szCs w:val="28"/>
        </w:rPr>
      </w:pPr>
      <w:bookmarkStart w:name="_sgyrob2ryks9" w:id="0"/>
      <w:bookmarkEnd w:id="0"/>
      <w:r>
        <w:rPr>
          <w:rFonts w:ascii="Jost Bold" w:hAnsi="Jost Bold"/>
          <w:sz w:val="28"/>
          <w:szCs w:val="28"/>
          <w:rtl w:val="0"/>
          <w:lang w:val="en-US"/>
        </w:rPr>
        <w:t>U</w:t>
      </w:r>
      <w:r>
        <w:rPr>
          <w:rFonts w:ascii="Jost Bold" w:hAnsi="Jost Bold"/>
          <w:sz w:val="28"/>
          <w:szCs w:val="28"/>
          <w:rtl w:val="0"/>
          <w:lang w:val="en-US"/>
        </w:rPr>
        <w:t>nlocking AI compute hardware at 1/1000th the cost</w:t>
      </w:r>
    </w:p>
    <w:p>
      <w:pPr>
        <w:pStyle w:val="Subtitle"/>
        <w:spacing w:line="276" w:lineRule="auto"/>
        <w:ind w:left="0" w:firstLine="0"/>
        <w:rPr>
          <w:rFonts w:ascii="Jost Bold" w:cs="Jost Bold" w:hAnsi="Jost Bold" w:eastAsia="Jost Bold"/>
          <w:sz w:val="28"/>
          <w:szCs w:val="28"/>
        </w:rPr>
      </w:pPr>
      <w:bookmarkStart w:name="_t40dxe22uk6x" w:id="1"/>
      <w:bookmarkEnd w:id="1"/>
      <w:r>
        <w:rPr>
          <w:rFonts w:ascii="Jost Bold" w:hAnsi="Jost Bold"/>
          <w:sz w:val="28"/>
          <w:szCs w:val="28"/>
          <w:rtl w:val="0"/>
          <w:lang w:val="en-US"/>
        </w:rPr>
        <w:t>P</w:t>
      </w:r>
      <w:r>
        <w:rPr>
          <w:rFonts w:ascii="Jost Bold" w:hAnsi="Jost Bold"/>
          <w:sz w:val="28"/>
          <w:szCs w:val="28"/>
          <w:rtl w:val="0"/>
          <w:lang w:val="en-US"/>
        </w:rPr>
        <w:t xml:space="preserve">rogramme thesis </w:t>
      </w:r>
    </w:p>
    <w:p>
      <w:pPr>
        <w:pStyle w:val="Body"/>
        <w:ind w:left="0" w:firstLine="0"/>
        <w:rPr>
          <w:rFonts w:ascii="Jost Bold" w:cs="Jost Bold" w:hAnsi="Jost Bold" w:eastAsia="Jost Bold"/>
        </w:rPr>
      </w:pPr>
    </w:p>
    <w:p>
      <w:pPr>
        <w:pStyle w:val="Body"/>
        <w:ind w:left="0" w:firstLine="0"/>
      </w:pPr>
      <w:r>
        <w:rPr>
          <w:rtl w:val="0"/>
          <w:lang w:val="da-DK"/>
        </w:rPr>
        <w:t>v2.0</w:t>
      </w:r>
    </w:p>
    <w:p>
      <w:pPr>
        <w:pStyle w:val="Heading"/>
        <w:spacing w:line="276" w:lineRule="auto"/>
        <w:ind w:left="0" w:firstLine="0"/>
        <w:rPr>
          <w:rStyle w:val="None"/>
          <w:rFonts w:ascii="Jost Bold" w:cs="Jost Bold" w:hAnsi="Jost Bold" w:eastAsia="Jost Bold"/>
          <w:outline w:val="0"/>
          <w:color w:val="000000"/>
          <w:sz w:val="24"/>
          <w:szCs w:val="24"/>
          <w:u w:color="000000"/>
          <w14:textFill>
            <w14:solidFill>
              <w14:srgbClr w14:val="000000"/>
            </w14:solidFill>
          </w14:textFill>
        </w:rPr>
      </w:pPr>
      <w:r>
        <w:rPr>
          <w:rStyle w:val="Hyperlink.0"/>
        </w:rPr>
        <w:fldChar w:fldCharType="begin" w:fldLock="0"/>
      </w:r>
      <w:r>
        <w:rPr>
          <w:rStyle w:val="Hyperlink.0"/>
        </w:rPr>
        <w:instrText xml:space="preserve"> HYPERLINK "http://www.aria.org.uk/what-were-working-on/%23suraj"</w:instrText>
      </w:r>
      <w:r>
        <w:rPr>
          <w:rStyle w:val="Hyperlink.0"/>
        </w:rPr>
        <w:fldChar w:fldCharType="separate" w:fldLock="0"/>
      </w:r>
      <w:bookmarkStart w:name="_jxuj6ugulum0" w:id="2"/>
      <w:bookmarkEnd w:id="2"/>
      <w:r>
        <w:rPr>
          <w:rStyle w:val="Hyperlink.0"/>
          <w:rtl w:val="0"/>
        </w:rPr>
        <w:t>S</w:t>
      </w:r>
      <w:r>
        <w:rPr>
          <w:rStyle w:val="Hyperlink.0"/>
          <w:rtl w:val="0"/>
          <w:lang w:val="nl-NL"/>
        </w:rPr>
        <w:t>uraj Bramhavar, Programme Director</w:t>
      </w:r>
      <w:r>
        <w:rPr/>
        <w:fldChar w:fldCharType="end" w:fldLock="0"/>
      </w:r>
      <w:r>
        <w:rPr>
          <w:rStyle w:val="None"/>
          <w:rFonts w:ascii="Jost Bold" w:hAnsi="Jost Bold"/>
          <w:outline w:val="0"/>
          <w:color w:val="000000"/>
          <w:sz w:val="24"/>
          <w:szCs w:val="24"/>
          <w:u w:color="000000"/>
          <w:rtl w:val="0"/>
          <w14:textFill>
            <w14:solidFill>
              <w14:srgbClr w14:val="000000"/>
            </w14:solidFill>
          </w14:textFill>
        </w:rPr>
        <w:t xml:space="preserve"> </w:t>
      </w:r>
    </w:p>
    <w:p>
      <w:pPr>
        <w:pStyle w:val="Body"/>
        <w:ind w:left="0" w:firstLine="0"/>
      </w:pPr>
    </w:p>
    <w:p>
      <w:pPr>
        <w:pStyle w:val="Heading"/>
        <w:spacing w:line="276" w:lineRule="auto"/>
        <w:ind w:left="0" w:firstLine="0"/>
        <w:rPr>
          <w:rStyle w:val="None"/>
          <w:rFonts w:ascii="Jost Bold" w:cs="Jost Bold" w:hAnsi="Jost Bold" w:eastAsia="Jost Bold"/>
          <w:outline w:val="0"/>
          <w:color w:val="000000"/>
          <w:sz w:val="22"/>
          <w:szCs w:val="22"/>
          <w:u w:color="000000"/>
          <w14:textFill>
            <w14:solidFill>
              <w14:srgbClr w14:val="000000"/>
            </w14:solidFill>
          </w14:textFill>
        </w:rPr>
      </w:pPr>
      <w:bookmarkStart w:name="_ici97akl2q3t" w:id="3"/>
      <w:bookmarkEnd w:id="3"/>
      <w:r>
        <w:rPr>
          <w:rStyle w:val="None"/>
          <w:rFonts w:ascii="Jost Bold" w:hAnsi="Jost Bold"/>
          <w:outline w:val="0"/>
          <w:color w:val="000000"/>
          <w:sz w:val="24"/>
          <w:szCs w:val="24"/>
          <w:u w:color="000000"/>
          <w:rtl w:val="0"/>
          <w14:textFill>
            <w14:solidFill>
              <w14:srgbClr w14:val="000000"/>
            </w14:solidFill>
          </w14:textFill>
        </w:rPr>
        <w:t>C</w:t>
      </w:r>
      <w:r>
        <w:rPr>
          <w:rStyle w:val="None"/>
          <w:rFonts w:ascii="Jost Bold" w:hAnsi="Jost Bold"/>
          <w:outline w:val="0"/>
          <w:color w:val="000000"/>
          <w:sz w:val="24"/>
          <w:szCs w:val="24"/>
          <w:u w:color="000000"/>
          <w:rtl w:val="0"/>
          <w:lang w:val="de-DE"/>
          <w14:textFill>
            <w14:solidFill>
              <w14:srgbClr w14:val="000000"/>
            </w14:solidFill>
          </w14:textFill>
        </w:rPr>
        <w:t>ONTEXT</w:t>
      </w:r>
    </w:p>
    <w:p>
      <w:pPr>
        <w:pStyle w:val="Body"/>
        <w:ind w:left="0" w:firstLine="0"/>
        <w:rPr>
          <w:rStyle w:val="None"/>
        </w:rPr>
      </w:pPr>
      <w:r>
        <w:rPr>
          <w:rStyle w:val="None"/>
          <w:rtl w:val="0"/>
          <w:lang w:val="en-US"/>
        </w:rPr>
        <w:t>This document presents a thesis underpinning a programme that has now launched. Sign up</w:t>
      </w:r>
      <w:r>
        <w:rPr>
          <w:rStyle w:val="Link"/>
          <w:rtl w:val="0"/>
        </w:rPr>
        <w:t xml:space="preserve"> </w:t>
      </w:r>
      <w:r>
        <w:rPr>
          <w:rStyle w:val="Link"/>
        </w:rPr>
        <w:fldChar w:fldCharType="begin" w:fldLock="0"/>
      </w:r>
      <w:r>
        <w:rPr>
          <w:rStyle w:val="Link"/>
        </w:rPr>
        <w:instrText xml:space="preserve"> HYPERLINK "https://www.aria.org.uk/opportunity-space-updates/"</w:instrText>
      </w:r>
      <w:r>
        <w:rPr>
          <w:rStyle w:val="Link"/>
        </w:rPr>
        <w:fldChar w:fldCharType="separate" w:fldLock="0"/>
      </w:r>
      <w:r>
        <w:rPr>
          <w:rStyle w:val="Link"/>
          <w:rtl w:val="0"/>
          <w:lang w:val="en-US"/>
        </w:rPr>
        <w:t>here</w:t>
      </w:r>
      <w:r>
        <w:rPr/>
        <w:fldChar w:fldCharType="end" w:fldLock="0"/>
      </w:r>
      <w:r>
        <w:rPr>
          <w:rStyle w:val="None"/>
          <w:rtl w:val="0"/>
        </w:rPr>
        <w:t xml:space="preserve"> </w:t>
      </w:r>
      <w:r>
        <w:rPr>
          <w:rStyle w:val="None"/>
          <w:rtl w:val="0"/>
          <w:lang w:val="en-US"/>
        </w:rPr>
        <w:t>(</w:t>
      </w:r>
      <w:r>
        <w:rPr>
          <w:rtl w:val="0"/>
          <w:lang w:val="en-US"/>
        </w:rPr>
        <w:t>www.aria.org.uk/opportunity-space-updates/</w:t>
      </w:r>
      <w:r>
        <w:rPr>
          <w:rStyle w:val="None"/>
          <w:rtl w:val="0"/>
          <w:lang w:val="en-US"/>
        </w:rPr>
        <w:t xml:space="preserve">) </w:t>
      </w:r>
      <w:r>
        <w:rPr>
          <w:rStyle w:val="None"/>
          <w:rtl w:val="0"/>
          <w:lang w:val="en-US"/>
        </w:rPr>
        <w:t>to receive all updates about this</w:t>
      </w:r>
      <w:r>
        <w:rPr>
          <w:rStyle w:val="None"/>
          <w:rtl w:val="0"/>
          <w:lang w:val="en-US"/>
        </w:rPr>
        <w:t xml:space="preserve"> opportunity space and see the programme </w:t>
      </w:r>
      <w:r>
        <w:rPr>
          <w:rStyle w:val="Link"/>
        </w:rPr>
        <w:fldChar w:fldCharType="begin" w:fldLock="0"/>
      </w:r>
      <w:r>
        <w:rPr>
          <w:rStyle w:val="Link"/>
        </w:rPr>
        <w:instrText xml:space="preserve"> HYPERLINK "https://www.aria.org.uk/scaling-compute/"</w:instrText>
      </w:r>
      <w:r>
        <w:rPr>
          <w:rStyle w:val="Link"/>
        </w:rPr>
        <w:fldChar w:fldCharType="separate" w:fldLock="0"/>
      </w:r>
      <w:r>
        <w:rPr>
          <w:rStyle w:val="Link"/>
          <w:rtl w:val="0"/>
          <w:lang w:val="en-US"/>
        </w:rPr>
        <w:t>here.</w:t>
      </w:r>
      <w:r>
        <w:rPr/>
        <w:fldChar w:fldCharType="end" w:fldLock="0"/>
      </w:r>
      <w:r>
        <w:rPr>
          <w:rStyle w:val="None"/>
          <w:rtl w:val="0"/>
          <w:lang w:val="en-US"/>
        </w:rPr>
        <w:t xml:space="preserve"> (</w:t>
      </w:r>
      <w:r>
        <w:rPr>
          <w:rtl w:val="0"/>
        </w:rPr>
        <w:t>www.aria.org.uk/scaling-compute/</w:t>
      </w:r>
      <w:r>
        <w:rPr>
          <w:rStyle w:val="None"/>
          <w:rtl w:val="0"/>
          <w:lang w:val="en-US"/>
        </w:rPr>
        <w:t>)</w:t>
      </w:r>
    </w:p>
    <w:p>
      <w:pPr>
        <w:pStyle w:val="Body"/>
        <w:ind w:left="0" w:firstLine="0"/>
      </w:pPr>
    </w:p>
    <w:p>
      <w:pPr>
        <w:pStyle w:val="Body"/>
        <w:ind w:left="0" w:firstLine="0"/>
        <w:rPr>
          <w:rStyle w:val="None"/>
          <w:rFonts w:ascii="Jost Bold" w:cs="Jost Bold" w:hAnsi="Jost Bold" w:eastAsia="Jost Bold"/>
        </w:rPr>
      </w:pPr>
      <w:r>
        <w:rPr>
          <w:rStyle w:val="None"/>
          <w:rFonts w:ascii="Jost Bold" w:hAnsi="Jost Bold"/>
          <w:rtl w:val="0"/>
          <w:lang w:val="en-US"/>
        </w:rPr>
        <w:t xml:space="preserve">An ARIA programme seeks to unlock a scientific or technical capability that </w:t>
      </w:r>
    </w:p>
    <w:p>
      <w:pPr>
        <w:pStyle w:val="Body"/>
        <w:ind w:left="283" w:firstLine="0"/>
      </w:pPr>
    </w:p>
    <w:p>
      <w:pPr>
        <w:pStyle w:val="Body"/>
        <w:numPr>
          <w:ilvl w:val="0"/>
          <w:numId w:val="2"/>
        </w:numPr>
        <w:rPr>
          <w:lang w:val="en-US"/>
        </w:rPr>
      </w:pPr>
      <w:r>
        <w:rPr>
          <w:rStyle w:val="None"/>
          <w:rtl w:val="0"/>
          <w:lang w:val="en-US"/>
        </w:rPr>
        <w:t>changes the perception of what</w:t>
      </w:r>
      <w:r>
        <w:rPr>
          <w:rStyle w:val="None"/>
          <w:rtl w:val="1"/>
        </w:rPr>
        <w:t>’</w:t>
      </w:r>
      <w:r>
        <w:rPr>
          <w:rStyle w:val="None"/>
          <w:rtl w:val="0"/>
          <w:lang w:val="en-US"/>
        </w:rPr>
        <w:t>s possible or valuable</w:t>
      </w:r>
    </w:p>
    <w:p>
      <w:pPr>
        <w:pStyle w:val="Body"/>
        <w:numPr>
          <w:ilvl w:val="0"/>
          <w:numId w:val="4"/>
        </w:numPr>
        <w:rPr>
          <w:lang w:val="en-US"/>
        </w:rPr>
      </w:pPr>
      <w:r>
        <w:rPr>
          <w:rStyle w:val="None"/>
          <w:rtl w:val="0"/>
          <w:lang w:val="en-US"/>
        </w:rPr>
        <w:t>has the potential to catalyse massive social and economic returns</w:t>
      </w:r>
    </w:p>
    <w:p>
      <w:pPr>
        <w:pStyle w:val="Body"/>
        <w:numPr>
          <w:ilvl w:val="0"/>
          <w:numId w:val="4"/>
        </w:numPr>
        <w:rPr>
          <w:lang w:val="en-US"/>
        </w:rPr>
      </w:pPr>
      <w:r>
        <w:rPr>
          <w:rStyle w:val="None"/>
          <w:rtl w:val="0"/>
          <w:lang w:val="en-US"/>
        </w:rPr>
        <w:t>is unlikely to be achieved without ARIA</w:t>
      </w:r>
      <w:r>
        <w:rPr>
          <w:rStyle w:val="None"/>
          <w:rtl w:val="1"/>
        </w:rPr>
        <w:t>’</w:t>
      </w:r>
      <w:r>
        <w:rPr>
          <w:rStyle w:val="None"/>
          <w:rtl w:val="0"/>
          <w:lang w:val="fr-FR"/>
        </w:rPr>
        <w:t>s intervention.</w:t>
      </w:r>
    </w:p>
    <w:p>
      <w:pPr>
        <w:pStyle w:val="Body"/>
      </w:pPr>
    </w:p>
    <w:p>
      <w:pPr>
        <w:pStyle w:val="Body"/>
      </w:pPr>
    </w:p>
    <w:p>
      <w:pPr>
        <w:pStyle w:val="Heading"/>
        <w:ind w:left="0" w:firstLine="0"/>
        <w:rPr>
          <w:rStyle w:val="None"/>
          <w:rFonts w:ascii="Jost Bold" w:cs="Jost Bold" w:hAnsi="Jost Bold" w:eastAsia="Jost Bold"/>
          <w:outline w:val="0"/>
          <w:color w:val="000000"/>
          <w:sz w:val="24"/>
          <w:szCs w:val="24"/>
          <w:u w:color="000000"/>
          <w14:textFill>
            <w14:solidFill>
              <w14:srgbClr w14:val="000000"/>
            </w14:solidFill>
          </w14:textFill>
        </w:rPr>
      </w:pPr>
      <w:bookmarkStart w:name="_tqqv5fmbesqb" w:id="4"/>
      <w:bookmarkEnd w:id="4"/>
      <w:r>
        <w:rPr>
          <w:rStyle w:val="None"/>
          <w:rFonts w:ascii="Jost Bold" w:hAnsi="Jost Bold"/>
          <w:outline w:val="0"/>
          <w:color w:val="000000"/>
          <w:sz w:val="24"/>
          <w:szCs w:val="24"/>
          <w:u w:color="000000"/>
          <w:rtl w:val="0"/>
          <w14:textFill>
            <w14:solidFill>
              <w14:srgbClr w14:val="000000"/>
            </w14:solidFill>
          </w14:textFill>
        </w:rPr>
        <w:t>U</w:t>
      </w:r>
      <w:r>
        <w:rPr>
          <w:rStyle w:val="None"/>
          <w:rFonts w:ascii="Jost Bold" w:hAnsi="Jost Bold"/>
          <w:outline w:val="0"/>
          <w:color w:val="000000"/>
          <w:sz w:val="24"/>
          <w:szCs w:val="24"/>
          <w:u w:color="000000"/>
          <w:rtl w:val="0"/>
          <w:lang w:val="de-DE"/>
          <w14:textFill>
            <w14:solidFill>
              <w14:srgbClr w14:val="000000"/>
            </w14:solidFill>
          </w14:textFill>
        </w:rPr>
        <w:t>PDATE: OUR THINKING, EVOLVED</w:t>
      </w:r>
    </w:p>
    <w:p>
      <w:pPr>
        <w:pStyle w:val="Body"/>
        <w:ind w:left="0" w:firstLine="0"/>
        <w:rPr>
          <w:rStyle w:val="None"/>
          <w:i w:val="1"/>
          <w:iCs w:val="1"/>
        </w:rPr>
      </w:pPr>
      <w:r>
        <w:rPr>
          <w:rStyle w:val="None"/>
          <w:i w:val="1"/>
          <w:iCs w:val="1"/>
          <w:rtl w:val="0"/>
          <w:lang w:val="en-US"/>
        </w:rPr>
        <w:t>A summary capturing the evolution of our thinking since publication.</w:t>
      </w:r>
    </w:p>
    <w:p>
      <w:pPr>
        <w:pStyle w:val="Body"/>
        <w:spacing w:line="240" w:lineRule="auto"/>
        <w:ind w:left="0" w:firstLine="0"/>
        <w:rPr>
          <w:rStyle w:val="None"/>
          <w:rFonts w:ascii="Jost Bold" w:cs="Jost Bold" w:hAnsi="Jost Bold" w:eastAsia="Jost Bold"/>
        </w:rPr>
      </w:pPr>
    </w:p>
    <w:p>
      <w:pPr>
        <w:pStyle w:val="Body"/>
        <w:spacing w:line="240" w:lineRule="auto"/>
        <w:ind w:left="0" w:firstLine="0"/>
      </w:pPr>
      <w:r>
        <w:rPr>
          <w:rStyle w:val="None"/>
          <w:rtl w:val="0"/>
          <w:lang w:val="en-US"/>
        </w:rPr>
        <w:t xml:space="preserve">Since publishing this thesis in November 2023 we have invited public feedback on our ideas, conducted workshops, and engaged with experts to challenge and refine our thinking. The following key learnings emerged during that process and have evolved our original approach, these have been incorporated into the programme structure: </w:t>
      </w:r>
    </w:p>
    <w:p>
      <w:pPr>
        <w:pStyle w:val="Body"/>
        <w:spacing w:line="240" w:lineRule="auto"/>
        <w:ind w:left="0" w:firstLine="0"/>
      </w:pPr>
    </w:p>
    <w:p>
      <w:pPr>
        <w:pStyle w:val="Body"/>
        <w:numPr>
          <w:ilvl w:val="0"/>
          <w:numId w:val="6"/>
        </w:numPr>
        <w:bidi w:val="0"/>
        <w:spacing w:line="240" w:lineRule="auto"/>
        <w:ind w:right="0"/>
        <w:jc w:val="left"/>
        <w:rPr>
          <w:rFonts w:ascii="Jost Bold" w:hAnsi="Jost Bold"/>
          <w:rtl w:val="0"/>
          <w:lang w:val="en-US"/>
        </w:rPr>
      </w:pPr>
      <w:r>
        <w:rPr>
          <w:rStyle w:val="None"/>
          <w:rFonts w:ascii="Jost Bold" w:hAnsi="Jost Bold"/>
          <w:rtl w:val="0"/>
          <w:lang w:val="en-US"/>
        </w:rPr>
        <w:t>When pursuing new computing modalities, choosing a workload to focus on is critical</w:t>
      </w:r>
      <w:r>
        <w:rPr>
          <w:rStyle w:val="None"/>
          <w:rFonts w:ascii="Jost Regular" w:hAnsi="Jost Regular"/>
          <w:rtl w:val="0"/>
          <w:lang w:val="en-US"/>
        </w:rPr>
        <w:t xml:space="preserve">. In choosing a specific workload to focus a programme on, it quickly became clear that the vast majority of AI hardware research is focused on inference workloads (for both technological and economic reasons). However, the </w:t>
      </w:r>
      <w:r>
        <w:rPr>
          <w:rStyle w:val="None"/>
          <w:rFonts w:ascii="Jost Regular" w:hAnsi="Jost Regular"/>
          <w:i w:val="1"/>
          <w:iCs w:val="1"/>
          <w:rtl w:val="0"/>
          <w:lang w:val="en-US"/>
        </w:rPr>
        <w:t>capabilities</w:t>
      </w:r>
      <w:r>
        <w:rPr>
          <w:rStyle w:val="None"/>
          <w:rFonts w:ascii="Jost Regular" w:hAnsi="Jost Regular"/>
          <w:rtl w:val="0"/>
          <w:lang w:val="en-US"/>
        </w:rPr>
        <w:t xml:space="preserve"> of AI, which dictate much of its societal benefit, are governed by our ability to train AI models. AI research is increasingly governed by the efficiency with which practitioners can access vast compute resources to train new models. Our discovery process surfaced hardware for AI training as both an underserved and important opportunity for funded research.</w:t>
      </w:r>
    </w:p>
    <w:p>
      <w:pPr>
        <w:pStyle w:val="Body"/>
        <w:numPr>
          <w:ilvl w:val="0"/>
          <w:numId w:val="8"/>
        </w:numPr>
        <w:bidi w:val="0"/>
        <w:spacing w:line="240" w:lineRule="auto"/>
        <w:ind w:right="0"/>
        <w:jc w:val="left"/>
        <w:rPr>
          <w:rFonts w:ascii="Jost Bold" w:hAnsi="Jost Bold"/>
          <w:rtl w:val="0"/>
          <w:lang w:val="en-US"/>
        </w:rPr>
      </w:pPr>
      <w:r>
        <w:rPr>
          <w:rStyle w:val="None"/>
          <w:rFonts w:ascii="Jost Bold" w:hAnsi="Jost Bold"/>
          <w:rtl w:val="0"/>
          <w:lang w:val="en-US"/>
        </w:rPr>
        <w:t>Technology translation is governed as much by economics as it is by capabilities</w:t>
      </w:r>
      <w:r>
        <w:rPr>
          <w:rStyle w:val="None"/>
          <w:rFonts w:ascii="Jost Regular" w:hAnsi="Jost Regular"/>
          <w:rtl w:val="0"/>
          <w:lang w:val="en-US"/>
        </w:rPr>
        <w:t xml:space="preserve">. A stronger emphasis will continue to be placed on developing a better economic understanding of the existing state-of-the-art, and using these economics as constraints to spark creative R&amp;D activity. </w:t>
      </w:r>
    </w:p>
    <w:p>
      <w:pPr>
        <w:pStyle w:val="Body"/>
        <w:numPr>
          <w:ilvl w:val="0"/>
          <w:numId w:val="8"/>
        </w:numPr>
        <w:bidi w:val="0"/>
        <w:spacing w:line="240" w:lineRule="auto"/>
        <w:ind w:right="0"/>
        <w:jc w:val="left"/>
        <w:rPr>
          <w:rFonts w:ascii="Jost Bold" w:hAnsi="Jost Bold"/>
          <w:rtl w:val="0"/>
          <w:lang w:val="en-US"/>
        </w:rPr>
      </w:pPr>
      <w:r>
        <w:rPr>
          <w:rStyle w:val="None"/>
          <w:rFonts w:ascii="Jost Bold" w:hAnsi="Jost Bold"/>
          <w:rtl w:val="0"/>
          <w:lang w:val="en-US"/>
        </w:rPr>
        <w:t>Systems-level analysis is highly undervalued</w:t>
      </w:r>
      <w:r>
        <w:rPr>
          <w:rStyle w:val="None"/>
          <w:rFonts w:ascii="Jost Regular" w:hAnsi="Jost Regular"/>
          <w:rtl w:val="0"/>
          <w:lang w:val="en-US"/>
        </w:rPr>
        <w:t xml:space="preserve">. We need to allow R&amp;D Creators, individuals and teams that ARIA will fund and support, to focus on a variety of novel building blocks (all of which are critical to reach our goals), but we also want to create the conditions such that they can track how their specific block fits into a larger system. Systems-level analysis allowing for this (via software simulation) clearly stands out as an underfunded activity, and a critical tool to help prioritise and direct R&amp;D activity.   </w:t>
      </w:r>
    </w:p>
    <w:p>
      <w:pPr>
        <w:pStyle w:val="Body"/>
        <w:spacing w:line="240" w:lineRule="auto"/>
        <w:ind w:left="0" w:firstLine="0"/>
      </w:pPr>
    </w:p>
    <w:p>
      <w:pPr>
        <w:pStyle w:val="Body"/>
        <w:spacing w:line="240" w:lineRule="auto"/>
        <w:ind w:left="0" w:firstLine="0"/>
      </w:pPr>
      <w:r>
        <w:rPr>
          <w:rStyle w:val="None"/>
          <w:rtl w:val="0"/>
          <w:lang w:val="en-US"/>
        </w:rPr>
        <w:t xml:space="preserve">Having integrated these learnings and incorporated your feedback, we have now launched a live programme in this space: </w:t>
      </w:r>
      <w:r>
        <w:rPr>
          <w:rStyle w:val="Hyperlink.1"/>
        </w:rPr>
        <w:fldChar w:fldCharType="begin" w:fldLock="0"/>
      </w:r>
      <w:r>
        <w:rPr>
          <w:rStyle w:val="Hyperlink.1"/>
        </w:rPr>
        <w:instrText xml:space="preserve"> HYPERLINK "http://www.aria.org.uk/scaling-compute"</w:instrText>
      </w:r>
      <w:r>
        <w:rPr>
          <w:rStyle w:val="Hyperlink.1"/>
        </w:rPr>
        <w:fldChar w:fldCharType="separate" w:fldLock="0"/>
      </w:r>
      <w:r>
        <w:rPr>
          <w:rStyle w:val="Hyperlink.1"/>
          <w:rtl w:val="0"/>
          <w:lang w:val="en-US"/>
        </w:rPr>
        <w:t xml:space="preserve">Scaling Compute </w:t>
      </w:r>
      <w:r>
        <w:rPr>
          <w:rStyle w:val="Hyperlink.1"/>
          <w:rtl w:val="0"/>
          <w:lang w:val="en-US"/>
        </w:rPr>
        <w:t xml:space="preserve">— </w:t>
      </w:r>
      <w:r>
        <w:rPr>
          <w:rStyle w:val="Hyperlink.1"/>
          <w:rtl w:val="0"/>
          <w:lang w:val="en-US"/>
        </w:rPr>
        <w:t>AI at 1/1000th the cost</w:t>
      </w:r>
      <w:r>
        <w:rPr/>
        <w:fldChar w:fldCharType="end" w:fldLock="0"/>
      </w:r>
      <w:r>
        <w:rPr>
          <w:rStyle w:val="None"/>
          <w:rtl w:val="0"/>
          <w:lang w:val="en-US"/>
        </w:rPr>
        <w:t xml:space="preserve">. Calls for proposals are currently open. </w:t>
      </w:r>
    </w:p>
    <w:p>
      <w:pPr>
        <w:pStyle w:val="Body"/>
        <w:spacing w:line="240" w:lineRule="auto"/>
        <w:ind w:left="0" w:firstLine="0"/>
      </w:pPr>
    </w:p>
    <w:p>
      <w:pPr>
        <w:pStyle w:val="Body"/>
        <w:spacing w:line="240" w:lineRule="auto"/>
        <w:ind w:left="0" w:firstLine="0"/>
      </w:pPr>
      <w:r>
        <w:rPr>
          <w:rStyle w:val="None"/>
          <w:rtl w:val="0"/>
          <w:lang w:val="en-US"/>
        </w:rPr>
        <w:t xml:space="preserve">The rest of this thesis document provides an archival deepdive into our journey to this point. </w:t>
      </w:r>
    </w:p>
    <w:p>
      <w:pPr>
        <w:pStyle w:val="Body"/>
        <w:spacing w:line="240" w:lineRule="auto"/>
        <w:ind w:left="0" w:firstLine="0"/>
      </w:pPr>
    </w:p>
    <w:p>
      <w:pPr>
        <w:pStyle w:val="Heading"/>
        <w:spacing w:line="240" w:lineRule="auto"/>
        <w:ind w:left="0" w:firstLine="0"/>
        <w:rPr>
          <w:rStyle w:val="None"/>
          <w:rFonts w:ascii="Jost Bold" w:cs="Jost Bold" w:hAnsi="Jost Bold" w:eastAsia="Jost Bold"/>
          <w:outline w:val="0"/>
          <w:color w:val="000000"/>
          <w:sz w:val="24"/>
          <w:szCs w:val="24"/>
          <w:u w:color="000000"/>
          <w14:textFill>
            <w14:solidFill>
              <w14:srgbClr w14:val="000000"/>
            </w14:solidFill>
          </w14:textFill>
        </w:rPr>
      </w:pPr>
      <w:bookmarkStart w:name="_k9wjepmpyggx" w:id="5"/>
      <w:bookmarkEnd w:id="5"/>
      <w:r>
        <w:rPr>
          <w:rStyle w:val="None"/>
          <w:rFonts w:ascii="Jost Bold" w:hAnsi="Jost Bold"/>
          <w:outline w:val="0"/>
          <w:color w:val="000000"/>
          <w:sz w:val="24"/>
          <w:szCs w:val="24"/>
          <w:u w:color="000000"/>
          <w:rtl w:val="0"/>
          <w14:textFill>
            <w14:solidFill>
              <w14:srgbClr w14:val="000000"/>
            </w14:solidFill>
          </w14:textFill>
        </w:rPr>
        <w:t>P</w:t>
      </w:r>
      <w:r>
        <w:rPr>
          <w:rStyle w:val="None"/>
          <w:rFonts w:ascii="Jost Bold" w:hAnsi="Jost Bold"/>
          <w:outline w:val="0"/>
          <w:color w:val="000000"/>
          <w:sz w:val="24"/>
          <w:szCs w:val="24"/>
          <w:u w:color="000000"/>
          <w:rtl w:val="0"/>
          <w:lang w:val="en-US"/>
          <w14:textFill>
            <w14:solidFill>
              <w14:srgbClr w14:val="000000"/>
            </w14:solidFill>
          </w14:textFill>
        </w:rPr>
        <w:t>ROGRAMME THESIS, EXPLAINED</w:t>
      </w:r>
    </w:p>
    <w:p>
      <w:pPr>
        <w:pStyle w:val="Body"/>
        <w:spacing w:line="240" w:lineRule="auto"/>
        <w:ind w:left="0" w:firstLine="0"/>
        <w:rPr>
          <w:rStyle w:val="None"/>
          <w:rFonts w:ascii="Jost Bold" w:cs="Jost Bold" w:hAnsi="Jost Bold" w:eastAsia="Jost Bold"/>
        </w:rPr>
      </w:pPr>
      <w:r>
        <w:rPr>
          <w:rStyle w:val="None"/>
          <w:i w:val="1"/>
          <w:iCs w:val="1"/>
          <w:rtl w:val="0"/>
          <w:lang w:val="en-US"/>
        </w:rPr>
        <w:t>A detailed description of the programme thesis, presented for constructive feedback, as published in November 2023.</w:t>
      </w:r>
    </w:p>
    <w:p>
      <w:pPr>
        <w:pStyle w:val="Body"/>
        <w:ind w:left="0" w:firstLine="0"/>
      </w:pPr>
    </w:p>
    <w:p>
      <w:pPr>
        <w:pStyle w:val="Heading"/>
        <w:spacing w:line="276" w:lineRule="auto"/>
        <w:ind w:left="0" w:firstLine="0"/>
        <w:rPr>
          <w:rStyle w:val="None"/>
          <w:rFonts w:ascii="Jost Bold" w:cs="Jost Bold" w:hAnsi="Jost Bold" w:eastAsia="Jost Bold"/>
          <w:outline w:val="0"/>
          <w:color w:val="000000"/>
          <w:sz w:val="24"/>
          <w:szCs w:val="24"/>
          <w:u w:color="000000"/>
          <w14:textFill>
            <w14:solidFill>
              <w14:srgbClr w14:val="000000"/>
            </w14:solidFill>
          </w14:textFill>
        </w:rPr>
      </w:pPr>
      <w:bookmarkStart w:name="_m7rb1h57g8qp" w:id="6"/>
      <w:bookmarkEnd w:id="6"/>
      <w:r>
        <w:rPr>
          <w:rStyle w:val="None"/>
          <w:rFonts w:ascii="Jost Bold" w:hAnsi="Jost Bold"/>
          <w:outline w:val="0"/>
          <w:color w:val="000000"/>
          <w:sz w:val="24"/>
          <w:szCs w:val="24"/>
          <w:u w:color="000000"/>
          <w:rtl w:val="0"/>
          <w14:textFill>
            <w14:solidFill>
              <w14:srgbClr w14:val="000000"/>
            </w14:solidFill>
          </w14:textFill>
        </w:rPr>
        <w:t>P</w:t>
      </w:r>
      <w:r>
        <w:rPr>
          <w:rStyle w:val="None"/>
          <w:rFonts w:ascii="Jost Bold" w:hAnsi="Jost Bold"/>
          <w:outline w:val="0"/>
          <w:color w:val="000000"/>
          <w:sz w:val="24"/>
          <w:szCs w:val="24"/>
          <w:u w:color="000000"/>
          <w:rtl w:val="0"/>
          <w:lang w:val="en-US"/>
          <w14:textFill>
            <w14:solidFill>
              <w14:srgbClr w14:val="000000"/>
            </w14:solidFill>
          </w14:textFill>
        </w:rPr>
        <w:t>ROGRAMME THESIS, SIMPLY STATED</w:t>
      </w:r>
    </w:p>
    <w:p>
      <w:pPr>
        <w:pStyle w:val="Body"/>
        <w:spacing w:line="276" w:lineRule="auto"/>
        <w:ind w:left="0" w:firstLine="0"/>
        <w:rPr>
          <w:rStyle w:val="None"/>
          <w:i w:val="1"/>
          <w:iCs w:val="1"/>
        </w:rPr>
      </w:pPr>
      <w:r>
        <w:rPr>
          <w:rStyle w:val="None"/>
          <w:i w:val="1"/>
          <w:iCs w:val="1"/>
          <w:rtl w:val="0"/>
          <w:lang w:val="en-US"/>
        </w:rPr>
        <w:t xml:space="preserve">This programme thesis is derived from the ARIA Opportunity Space: </w:t>
      </w:r>
      <w:r>
        <w:rPr>
          <w:rStyle w:val="Hyperlink.2"/>
        </w:rPr>
        <w:fldChar w:fldCharType="begin" w:fldLock="0"/>
      </w:r>
      <w:r>
        <w:rPr>
          <w:rStyle w:val="Hyperlink.2"/>
        </w:rPr>
        <w:instrText xml:space="preserve"> HYPERLINK "https://www.aria.org.uk/wp-content/uploads/2023/11/ARIA-Nature-computes-better-v1.0-1.pdf"</w:instrText>
      </w:r>
      <w:r>
        <w:rPr>
          <w:rStyle w:val="Hyperlink.2"/>
        </w:rPr>
        <w:fldChar w:fldCharType="separate" w:fldLock="0"/>
      </w:r>
      <w:r>
        <w:rPr>
          <w:rStyle w:val="Hyperlink.2"/>
          <w:rtl w:val="0"/>
          <w:lang w:val="en-US"/>
        </w:rPr>
        <w:t>Nature computes better.</w:t>
      </w:r>
      <w:r>
        <w:rPr/>
        <w:fldChar w:fldCharType="end" w:fldLock="0"/>
      </w:r>
    </w:p>
    <w:p>
      <w:pPr>
        <w:pStyle w:val="Body"/>
        <w:ind w:left="0" w:firstLine="0"/>
      </w:pPr>
    </w:p>
    <w:p>
      <w:pPr>
        <w:pStyle w:val="Body"/>
        <w:ind w:left="0" w:firstLine="0"/>
      </w:pPr>
      <w:r>
        <w:rPr>
          <w:rStyle w:val="None"/>
          <w:rtl w:val="0"/>
          <w:lang w:val="en-US"/>
        </w:rPr>
        <w:t>By calling into question key tenets underpinning our digital computing infrastructure, this programme will create a new library of algorithms and circuit-level building blocks that provide computer architects the toolkit to realise AI compute hardware at 1/1000th the cost of today</w:t>
      </w:r>
      <w:r>
        <w:rPr>
          <w:rStyle w:val="None"/>
          <w:rtl w:val="1"/>
        </w:rPr>
        <w:t>’</w:t>
      </w:r>
      <w:r>
        <w:rPr>
          <w:rStyle w:val="None"/>
          <w:rtl w:val="0"/>
        </w:rPr>
        <w:t xml:space="preserve">s platforms.  </w:t>
      </w:r>
    </w:p>
    <w:p>
      <w:pPr>
        <w:pStyle w:val="Body"/>
        <w:ind w:left="0" w:firstLine="0"/>
      </w:pPr>
    </w:p>
    <w:p>
      <w:pPr>
        <w:pStyle w:val="Body"/>
        <w:ind w:left="0" w:firstLine="0"/>
      </w:pPr>
      <w:r>
        <w:rPr>
          <w:rStyle w:val="None"/>
          <w:rtl w:val="0"/>
          <w:lang w:val="en-US"/>
        </w:rPr>
        <w:t>AI workloads rely on well-defined mathematical primitives computed with discrete 1</w:t>
      </w:r>
      <w:r>
        <w:rPr>
          <w:rStyle w:val="None"/>
          <w:rtl w:val="1"/>
        </w:rPr>
        <w:t>’</w:t>
      </w:r>
      <w:r>
        <w:rPr>
          <w:rStyle w:val="None"/>
          <w:rtl w:val="0"/>
          <w:lang w:val="en-US"/>
        </w:rPr>
        <w:t>s and 0</w:t>
      </w:r>
      <w:r>
        <w:rPr>
          <w:rStyle w:val="None"/>
          <w:rtl w:val="1"/>
        </w:rPr>
        <w:t>’</w:t>
      </w:r>
      <w:r>
        <w:rPr>
          <w:rStyle w:val="None"/>
          <w:rtl w:val="0"/>
          <w:lang w:val="en-US"/>
        </w:rPr>
        <w:t xml:space="preserve">s and clearly separated compute and memory. These workloads mimic processes which nature performs with extreme efficiency, prompting us to </w:t>
      </w:r>
      <w:r>
        <w:rPr>
          <w:rStyle w:val="None"/>
          <w:rFonts w:ascii="Jost Bold" w:hAnsi="Jost Bold"/>
          <w:i w:val="1"/>
          <w:iCs w:val="1"/>
          <w:rtl w:val="0"/>
          <w:lang w:val="en-US"/>
        </w:rPr>
        <w:t>look to physical systems for inspiration</w:t>
      </w:r>
      <w:r>
        <w:rPr>
          <w:rStyle w:val="None"/>
          <w:rtl w:val="0"/>
          <w:lang w:val="en-US"/>
        </w:rPr>
        <w:t xml:space="preserve"> in search of more efficient computation. The phenomenal scale and capabilities of our digital universe mask the inefficiencies buried in the decidedly unnatural characteristics of discrete, clocked signals. An opportunity now exists to break this paradigm in an effort to open new vectors of progress in the field of computing.      </w:t>
      </w:r>
    </w:p>
    <w:p>
      <w:pPr>
        <w:pStyle w:val="Body"/>
        <w:ind w:left="0" w:firstLine="0"/>
      </w:pPr>
      <w:r>
        <w:rPr>
          <w:rStyle w:val="None"/>
          <w:rtl w:val="0"/>
        </w:rPr>
        <w:t xml:space="preserve">  </w:t>
      </w:r>
    </w:p>
    <w:p>
      <w:pPr>
        <w:pStyle w:val="Body"/>
        <w:ind w:left="0" w:firstLine="0"/>
      </w:pPr>
      <w:r>
        <w:rPr>
          <w:rStyle w:val="None"/>
          <w:rtl w:val="0"/>
          <w:lang w:val="en-US"/>
        </w:rPr>
        <w:t xml:space="preserve">A successful programme will unlock a new technological lever for next-generation AI hardware, alleviating dependence on bleeding-edge chip manufacturing and opening up new avenues to scale the expected trillion </w:t>
      </w:r>
      <w:r>
        <w:rPr>
          <w:rStyle w:val="None"/>
          <w:rtl w:val="0"/>
        </w:rPr>
        <w:t xml:space="preserve">£ </w:t>
      </w:r>
      <w:r>
        <w:rPr>
          <w:rStyle w:val="None"/>
          <w:rtl w:val="0"/>
          <w:lang w:val="en-US"/>
        </w:rPr>
        <w:t xml:space="preserve">AI processing industry. Capabilities proven out in the AI domain will cascade into numerous disciplines beyond AI where information processing is critical, from scientific simulation to communication systems.   </w:t>
      </w:r>
    </w:p>
    <w:p>
      <w:pPr>
        <w:pStyle w:val="Body"/>
        <w:ind w:left="0" w:firstLine="0"/>
      </w:pPr>
      <w:r>
        <w:rPr>
          <w:rStyle w:val="None"/>
          <w:rtl w:val="0"/>
        </w:rPr>
        <w:t xml:space="preserve">    </w:t>
      </w:r>
    </w:p>
    <w:p>
      <w:pPr>
        <w:pStyle w:val="Heading"/>
        <w:spacing w:line="276" w:lineRule="auto"/>
        <w:ind w:left="0" w:firstLine="0"/>
        <w:rPr>
          <w:rStyle w:val="None"/>
          <w:rFonts w:ascii="Jost Bold" w:cs="Jost Bold" w:hAnsi="Jost Bold" w:eastAsia="Jost Bold"/>
          <w:outline w:val="0"/>
          <w:color w:val="000000"/>
          <w:sz w:val="24"/>
          <w:szCs w:val="24"/>
          <w:u w:color="000000"/>
          <w14:textFill>
            <w14:solidFill>
              <w14:srgbClr w14:val="000000"/>
            </w14:solidFill>
          </w14:textFill>
        </w:rPr>
      </w:pPr>
      <w:bookmarkStart w:name="_f6wd5mq8bgyg" w:id="7"/>
      <w:bookmarkEnd w:id="7"/>
      <w:r>
        <w:rPr>
          <w:rStyle w:val="None"/>
          <w:rFonts w:ascii="Jost Bold" w:hAnsi="Jost Bold"/>
          <w:outline w:val="0"/>
          <w:color w:val="000000"/>
          <w:sz w:val="24"/>
          <w:szCs w:val="24"/>
          <w:u w:color="000000"/>
          <w:rtl w:val="0"/>
          <w14:textFill>
            <w14:solidFill>
              <w14:srgbClr w14:val="000000"/>
            </w14:solidFill>
          </w14:textFill>
        </w:rPr>
        <w:t>P</w:t>
      </w:r>
      <w:r>
        <w:rPr>
          <w:rStyle w:val="None"/>
          <w:rFonts w:ascii="Jost Bold" w:hAnsi="Jost Bold"/>
          <w:outline w:val="0"/>
          <w:color w:val="000000"/>
          <w:sz w:val="24"/>
          <w:szCs w:val="24"/>
          <w:u w:color="000000"/>
          <w:rtl w:val="0"/>
          <w:lang w:val="en-US"/>
          <w14:textFill>
            <w14:solidFill>
              <w14:srgbClr w14:val="000000"/>
            </w14:solidFill>
          </w14:textFill>
        </w:rPr>
        <w:t>ROGRAMME THESIS, EXPLAINED</w:t>
      </w:r>
    </w:p>
    <w:p>
      <w:pPr>
        <w:pStyle w:val="Body"/>
        <w:ind w:left="0" w:firstLine="0"/>
        <w:rPr>
          <w:rStyle w:val="None"/>
          <w:i w:val="1"/>
          <w:iCs w:val="1"/>
        </w:rPr>
      </w:pPr>
      <w:r>
        <w:rPr>
          <w:rStyle w:val="None"/>
          <w:i w:val="1"/>
          <w:iCs w:val="1"/>
          <w:rtl w:val="0"/>
          <w:lang w:val="en-US"/>
        </w:rPr>
        <w:t>A detailed description of the programme thesis, presented for constructive feedback</w:t>
      </w:r>
    </w:p>
    <w:p>
      <w:pPr>
        <w:pStyle w:val="Body"/>
        <w:ind w:left="0" w:firstLine="0"/>
      </w:pPr>
    </w:p>
    <w:p>
      <w:pPr>
        <w:pStyle w:val="Heading 2"/>
        <w:ind w:left="0" w:firstLine="0"/>
        <w:rPr>
          <w:rStyle w:val="None"/>
          <w:rFonts w:ascii="Jost Bold" w:cs="Jost Bold" w:hAnsi="Jost Bold" w:eastAsia="Jost Bold"/>
        </w:rPr>
      </w:pPr>
      <w:bookmarkStart w:name="_fdq9aiolyrw6" w:id="8"/>
      <w:bookmarkEnd w:id="8"/>
      <w:r>
        <w:rPr>
          <w:rStyle w:val="None"/>
          <w:rFonts w:ascii="Jost Bold" w:hAnsi="Jost Bold"/>
          <w:rtl w:val="0"/>
          <w:lang w:val="de-DE"/>
        </w:rPr>
        <w:t>W</w:t>
      </w:r>
      <w:r>
        <w:rPr>
          <w:rStyle w:val="None"/>
          <w:rFonts w:ascii="Jost Bold" w:hAnsi="Jost Bold"/>
          <w:rtl w:val="0"/>
          <w:lang w:val="en-US"/>
        </w:rPr>
        <w:t>hy this programme</w:t>
      </w:r>
    </w:p>
    <w:p>
      <w:pPr>
        <w:pStyle w:val="Body"/>
        <w:ind w:left="0" w:firstLine="0"/>
      </w:pPr>
    </w:p>
    <w:p>
      <w:pPr>
        <w:pStyle w:val="Body"/>
        <w:ind w:left="0" w:firstLine="0"/>
      </w:pPr>
      <w:r>
        <w:rPr>
          <w:rStyle w:val="None"/>
          <w:rtl w:val="0"/>
          <w:lang w:val="en-US"/>
        </w:rPr>
        <w:t>The digital computing paradigm as we know it has been an incredibly unique economic engine.  Few technologies in human history have provided compounding exponential improvements over fifty-plus years.  This growth trajectory has now clearly ended, as traditional methods for improving hardware performance have become economically unviable [</w:t>
      </w:r>
      <w:r>
        <w:rPr>
          <w:rStyle w:val="Hyperlink.3"/>
        </w:rPr>
        <w:fldChar w:fldCharType="begin" w:fldLock="0"/>
      </w:r>
      <w:r>
        <w:rPr>
          <w:rStyle w:val="Hyperlink.3"/>
        </w:rPr>
        <w:instrText xml:space="preserve"> HYPERLINK "https://arxiv.org/pdf/2007.05558.pdf"</w:instrText>
      </w:r>
      <w:r>
        <w:rPr>
          <w:rStyle w:val="Hyperlink.3"/>
        </w:rPr>
        <w:fldChar w:fldCharType="separate" w:fldLock="0"/>
      </w:r>
      <w:r>
        <w:rPr>
          <w:rStyle w:val="Hyperlink.3"/>
          <w:rtl w:val="0"/>
        </w:rPr>
        <w:t>1</w:t>
      </w:r>
      <w:r>
        <w:rPr/>
        <w:fldChar w:fldCharType="end" w:fldLock="0"/>
      </w:r>
      <w:r>
        <w:rPr>
          <w:rStyle w:val="None"/>
          <w:rtl w:val="0"/>
        </w:rPr>
        <w:t xml:space="preserve">].  </w:t>
      </w:r>
    </w:p>
    <w:p>
      <w:pPr>
        <w:pStyle w:val="Body"/>
        <w:ind w:left="0" w:firstLine="0"/>
      </w:pPr>
    </w:p>
    <w:p>
      <w:pPr>
        <w:pStyle w:val="Body"/>
        <w:ind w:left="0" w:firstLine="0"/>
      </w:pPr>
      <w:r>
        <w:rPr>
          <w:rStyle w:val="None"/>
          <w:rtl w:val="0"/>
          <w:lang w:val="en-US"/>
        </w:rPr>
        <w:t xml:space="preserve">Nature has evolved to process complex information in an entirely different way, and has proven incredibly efficient at doing so.  Looking to nature provides us with an existence proof that </w:t>
      </w:r>
      <w:r>
        <w:rPr>
          <w:rStyle w:val="None"/>
          <w:rFonts w:ascii="Jost Bold" w:hAnsi="Jost Bold"/>
          <w:i w:val="1"/>
          <w:iCs w:val="1"/>
          <w:rtl w:val="0"/>
          <w:lang w:val="en-US"/>
        </w:rPr>
        <w:t>it is fundamentally possible</w:t>
      </w:r>
      <w:r>
        <w:rPr>
          <w:rStyle w:val="None"/>
          <w:rtl w:val="0"/>
          <w:lang w:val="en-US"/>
        </w:rPr>
        <w:t xml:space="preserve"> to accomplish sophisticated information processing much more efficiently than current computers.  </w:t>
      </w:r>
    </w:p>
    <w:p>
      <w:pPr>
        <w:pStyle w:val="Body"/>
        <w:ind w:left="0" w:firstLine="0"/>
      </w:pPr>
    </w:p>
    <w:p>
      <w:pPr>
        <w:pStyle w:val="Body"/>
        <w:ind w:left="0" w:firstLine="0"/>
      </w:pPr>
      <w:r>
        <w:rPr>
          <w:rStyle w:val="None"/>
          <w:rtl w:val="0"/>
          <w:lang w:val="en-US"/>
        </w:rPr>
        <w:t xml:space="preserve">Key principles that distinguish natural systems from existing computers include the facts that: </w:t>
      </w:r>
    </w:p>
    <w:p>
      <w:pPr>
        <w:pStyle w:val="Body"/>
        <w:numPr>
          <w:ilvl w:val="0"/>
          <w:numId w:val="10"/>
        </w:numPr>
        <w:rPr>
          <w:lang w:val="en-US"/>
        </w:rPr>
      </w:pPr>
      <w:r>
        <w:rPr>
          <w:rStyle w:val="None"/>
          <w:rtl w:val="0"/>
          <w:lang w:val="en-US"/>
        </w:rPr>
        <w:t xml:space="preserve">They typically do not distinguish computing elements from memory elements </w:t>
      </w:r>
    </w:p>
    <w:p>
      <w:pPr>
        <w:pStyle w:val="Body"/>
        <w:numPr>
          <w:ilvl w:val="0"/>
          <w:numId w:val="10"/>
        </w:numPr>
        <w:rPr>
          <w:lang w:val="en-US"/>
        </w:rPr>
      </w:pPr>
      <w:r>
        <w:rPr>
          <w:rStyle w:val="None"/>
          <w:rtl w:val="0"/>
          <w:lang w:val="en-US"/>
        </w:rPr>
        <w:t xml:space="preserve">They incorporate noise and are not purely binary </w:t>
      </w:r>
    </w:p>
    <w:p>
      <w:pPr>
        <w:pStyle w:val="Body"/>
        <w:numPr>
          <w:ilvl w:val="0"/>
          <w:numId w:val="10"/>
        </w:numPr>
        <w:rPr>
          <w:lang w:val="en-US"/>
        </w:rPr>
      </w:pPr>
      <w:r>
        <w:rPr>
          <w:rStyle w:val="None"/>
          <w:rtl w:val="0"/>
          <w:lang w:val="en-US"/>
        </w:rPr>
        <w:t xml:space="preserve">They do not operate in discrete time intervals </w:t>
      </w:r>
    </w:p>
    <w:p>
      <w:pPr>
        <w:pStyle w:val="Body"/>
        <w:ind w:left="0" w:firstLine="0"/>
      </w:pPr>
    </w:p>
    <w:p>
      <w:pPr>
        <w:pStyle w:val="Body"/>
        <w:ind w:left="0" w:firstLine="0"/>
      </w:pPr>
      <w:r>
        <w:rPr>
          <w:rStyle w:val="None"/>
          <w:rtl w:val="0"/>
          <w:lang w:val="en-US"/>
        </w:rPr>
        <w:t>The field of neuromorphic computing was created in this vein, primarily adopting tenet #1 to demonstrate impressive performance [</w:t>
      </w:r>
      <w:r>
        <w:rPr>
          <w:rStyle w:val="Hyperlink.3"/>
        </w:rPr>
        <w:fldChar w:fldCharType="begin" w:fldLock="0"/>
      </w:r>
      <w:r>
        <w:rPr>
          <w:rStyle w:val="Hyperlink.3"/>
        </w:rPr>
        <w:instrText xml:space="preserve"> HYPERLINK "https://www.science.org/stoken/author-tokens/ST-1491/full"</w:instrText>
      </w:r>
      <w:r>
        <w:rPr>
          <w:rStyle w:val="Hyperlink.3"/>
        </w:rPr>
        <w:fldChar w:fldCharType="separate" w:fldLock="0"/>
      </w:r>
      <w:r>
        <w:rPr>
          <w:rStyle w:val="Hyperlink.3"/>
          <w:rtl w:val="0"/>
        </w:rPr>
        <w:t>2</w:t>
      </w:r>
      <w:r>
        <w:rPr/>
        <w:fldChar w:fldCharType="end" w:fldLock="0"/>
      </w:r>
      <w:r>
        <w:rPr>
          <w:rStyle w:val="None"/>
          <w:rtl w:val="0"/>
          <w:lang w:val="en-US"/>
        </w:rPr>
        <w:t>]. One aim of this programme will be to show that embracing a combination of all three can take this work significantly further and help radically reduce the manufacturing and operational cost of today</w:t>
      </w:r>
      <w:r>
        <w:rPr>
          <w:rStyle w:val="None"/>
          <w:rtl w:val="1"/>
        </w:rPr>
        <w:t>’</w:t>
      </w:r>
      <w:r>
        <w:rPr>
          <w:rStyle w:val="None"/>
          <w:rtl w:val="0"/>
          <w:lang w:val="en-US"/>
        </w:rPr>
        <w:t>s AI hardware. AI workloads provide a compelling focal point due to their tolerance to the tenets listed above as well as strong commercial demand for increased performance. If successful, gains realised through this programme will ultimately be large enough to drive commercial adoption, and the techniques will subsequently find utility in a number of fields, ranging from communication systems to weather prediction, each of which relies heavily on advanced information processing.</w:t>
      </w:r>
    </w:p>
    <w:p>
      <w:pPr>
        <w:pStyle w:val="Body"/>
        <w:ind w:left="0" w:firstLine="0"/>
      </w:pPr>
    </w:p>
    <w:p>
      <w:pPr>
        <w:pStyle w:val="Heading 2"/>
        <w:ind w:left="0" w:firstLine="0"/>
        <w:rPr>
          <w:rStyle w:val="None"/>
          <w:rFonts w:ascii="Jost Bold" w:cs="Jost Bold" w:hAnsi="Jost Bold" w:eastAsia="Jost Bold"/>
        </w:rPr>
      </w:pPr>
      <w:bookmarkStart w:name="_ha0hv6cesp9" w:id="9"/>
      <w:bookmarkEnd w:id="9"/>
      <w:r>
        <w:rPr>
          <w:rStyle w:val="None"/>
          <w:rFonts w:ascii="Jost Bold" w:hAnsi="Jost Bold"/>
          <w:rtl w:val="0"/>
          <w:lang w:val="de-DE"/>
        </w:rPr>
        <w:t>W</w:t>
      </w:r>
      <w:r>
        <w:rPr>
          <w:rStyle w:val="None"/>
          <w:rFonts w:ascii="Jost Bold" w:hAnsi="Jost Bold"/>
          <w:rtl w:val="0"/>
          <w:lang w:val="en-US"/>
        </w:rPr>
        <w:t>hat we expect to fund</w:t>
      </w:r>
    </w:p>
    <w:p>
      <w:pPr>
        <w:pStyle w:val="Body"/>
        <w:ind w:left="0" w:firstLine="0"/>
      </w:pPr>
    </w:p>
    <w:p>
      <w:pPr>
        <w:pStyle w:val="Body"/>
        <w:ind w:left="0" w:firstLine="0"/>
      </w:pPr>
      <w:r>
        <w:rPr>
          <w:rStyle w:val="None"/>
          <w:rtl w:val="0"/>
          <w:lang w:val="en-US"/>
        </w:rPr>
        <w:t>In order to catalyse meaningful progress, it is critical to pinpoint workloads that are narrow enough to focus the efforts of a research community yet valuable enough to warrant significant investment. Take, for example, the application of cryptographic code breaking as a galvanising force to build quantum computers. Modern AI presents an analogous opportunity, as a few key linear algebraic primitives serve as the bedrock for today</w:t>
      </w:r>
      <w:r>
        <w:rPr>
          <w:rStyle w:val="None"/>
          <w:rtl w:val="1"/>
        </w:rPr>
        <w:t>’</w:t>
      </w:r>
      <w:r>
        <w:rPr>
          <w:rStyle w:val="None"/>
          <w:rtl w:val="0"/>
          <w:lang w:val="en-US"/>
        </w:rPr>
        <w:t xml:space="preserve">s AI hardware infrastructure, and AI as a general workload exhibits such strong demand that it drives economic investment for much of the semiconductor industry.  </w:t>
      </w:r>
    </w:p>
    <w:p>
      <w:pPr>
        <w:pStyle w:val="Body"/>
        <w:ind w:left="0" w:firstLine="0"/>
      </w:pPr>
    </w:p>
    <w:p>
      <w:pPr>
        <w:pStyle w:val="Body"/>
        <w:ind w:left="0" w:firstLine="0"/>
      </w:pPr>
      <w:r>
        <w:rPr>
          <w:rStyle w:val="None"/>
          <w:rtl w:val="0"/>
          <w:lang w:val="en-US"/>
        </w:rPr>
        <w:t xml:space="preserve">Below we identify three such primitives: </w:t>
      </w:r>
      <w:r>
        <w:rPr>
          <w:rStyle w:val="None"/>
          <w:rFonts w:ascii="Jost Bold" w:hAnsi="Jost Bold"/>
          <w:rtl w:val="0"/>
          <w:lang w:val="fr-FR"/>
        </w:rPr>
        <w:t>matrix multiplication</w:t>
      </w:r>
      <w:r>
        <w:rPr>
          <w:rStyle w:val="None"/>
          <w:rtl w:val="0"/>
        </w:rPr>
        <w:t xml:space="preserve">, </w:t>
      </w:r>
      <w:r>
        <w:rPr>
          <w:rStyle w:val="None"/>
          <w:rFonts w:ascii="Jost Bold" w:hAnsi="Jost Bold"/>
          <w:rtl w:val="0"/>
          <w:lang w:val="fr-FR"/>
        </w:rPr>
        <w:t>matrix inversion</w:t>
      </w:r>
      <w:r>
        <w:rPr>
          <w:rStyle w:val="None"/>
          <w:rtl w:val="0"/>
          <w:lang w:val="en-US"/>
        </w:rPr>
        <w:t xml:space="preserve">, and </w:t>
      </w:r>
      <w:r>
        <w:rPr>
          <w:rStyle w:val="None"/>
          <w:rFonts w:ascii="Jost Bold" w:hAnsi="Jost Bold"/>
          <w:rtl w:val="0"/>
          <w:lang w:val="it-IT"/>
        </w:rPr>
        <w:t>monte carlo sampling</w:t>
      </w:r>
      <w:r>
        <w:rPr>
          <w:rStyle w:val="None"/>
          <w:rtl w:val="0"/>
          <w:lang w:val="en-US"/>
        </w:rPr>
        <w:t>, forming a representative (though not exhaustive) set.</w:t>
      </w:r>
    </w:p>
    <w:p>
      <w:pPr>
        <w:pStyle w:val="Body"/>
        <w:ind w:left="0" w:firstLine="0"/>
      </w:pPr>
      <w:r>
        <w:rPr>
          <w:rStyle w:val="None"/>
          <w:rtl w:val="0"/>
        </w:rPr>
        <w:t xml:space="preserve"> </w:t>
      </w:r>
    </w:p>
    <w:p>
      <w:pPr>
        <w:pStyle w:val="Body"/>
        <w:ind w:left="0" w:firstLine="0"/>
      </w:pPr>
      <w:r>
        <w:rPr>
          <w:rStyle w:val="None"/>
          <w:rtl w:val="0"/>
        </w:rPr>
        <w:t xml:space="preserve">        </w:t>
      </w:r>
      <w:r>
        <w:rPr>
          <w:rStyle w:val="None"/>
        </w:rPr>
        <w:drawing xmlns:a="http://schemas.openxmlformats.org/drawingml/2006/main">
          <wp:inline distT="0" distB="0" distL="0" distR="0">
            <wp:extent cx="3875503" cy="1154900"/>
            <wp:effectExtent l="0" t="0" r="0" b="0"/>
            <wp:docPr id="1073741827" name="officeArt object" descr="image5.png"/>
            <wp:cNvGraphicFramePr/>
            <a:graphic xmlns:a="http://schemas.openxmlformats.org/drawingml/2006/main">
              <a:graphicData uri="http://schemas.openxmlformats.org/drawingml/2006/picture">
                <pic:pic xmlns:pic="http://schemas.openxmlformats.org/drawingml/2006/picture">
                  <pic:nvPicPr>
                    <pic:cNvPr id="1073741827" name="image5.png" descr="image5.png"/>
                    <pic:cNvPicPr>
                      <a:picLocks noChangeAspect="1"/>
                    </pic:cNvPicPr>
                  </pic:nvPicPr>
                  <pic:blipFill>
                    <a:blip r:embed="rId5">
                      <a:extLst/>
                    </a:blip>
                    <a:stretch>
                      <a:fillRect/>
                    </a:stretch>
                  </pic:blipFill>
                  <pic:spPr>
                    <a:xfrm>
                      <a:off x="0" y="0"/>
                      <a:ext cx="3875503" cy="1154900"/>
                    </a:xfrm>
                    <a:prstGeom prst="rect">
                      <a:avLst/>
                    </a:prstGeom>
                    <a:ln w="12700" cap="flat">
                      <a:noFill/>
                      <a:miter lim="400000"/>
                    </a:ln>
                    <a:effectLst/>
                  </pic:spPr>
                </pic:pic>
              </a:graphicData>
            </a:graphic>
          </wp:inline>
        </w:drawing>
      </w:r>
      <w:r>
        <w:rPr>
          <w:rStyle w:val="None"/>
          <w:rtl w:val="0"/>
        </w:rPr>
        <w:t xml:space="preserve">  </w:t>
      </w:r>
      <w:r>
        <w:rPr>
          <w:rStyle w:val="None"/>
        </w:rPr>
        <w:drawing xmlns:a="http://schemas.openxmlformats.org/drawingml/2006/main">
          <wp:inline distT="0" distB="0" distL="0" distR="0">
            <wp:extent cx="1202238" cy="1173950"/>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6">
                      <a:extLst/>
                    </a:blip>
                    <a:stretch>
                      <a:fillRect/>
                    </a:stretch>
                  </pic:blipFill>
                  <pic:spPr>
                    <a:xfrm>
                      <a:off x="0" y="0"/>
                      <a:ext cx="1202238" cy="1173950"/>
                    </a:xfrm>
                    <a:prstGeom prst="rect">
                      <a:avLst/>
                    </a:prstGeom>
                    <a:ln w="12700" cap="flat">
                      <a:noFill/>
                      <a:miter lim="400000"/>
                    </a:ln>
                    <a:effectLst/>
                  </pic:spPr>
                </pic:pic>
              </a:graphicData>
            </a:graphic>
          </wp:inline>
        </w:drawing>
      </w:r>
      <w:r>
        <w:rPr>
          <w:rStyle w:val="None"/>
          <w:rtl w:val="0"/>
        </w:rPr>
        <w:t xml:space="preserve">       </w:t>
      </w:r>
    </w:p>
    <w:p>
      <w:pPr>
        <w:pStyle w:val="Body"/>
        <w:ind w:left="0" w:firstLine="0"/>
      </w:pPr>
    </w:p>
    <w:p>
      <w:pPr>
        <w:pStyle w:val="Body"/>
        <w:ind w:left="0" w:firstLine="0"/>
      </w:pPr>
      <w:r>
        <w:rPr>
          <w:rStyle w:val="None"/>
          <w:rtl w:val="0"/>
          <w:lang w:val="it-IT"/>
        </w:rPr>
        <w:t xml:space="preserve">Figure 1: </w:t>
      </w:r>
      <w:r>
        <w:rPr>
          <w:rStyle w:val="None"/>
          <w:rtl w:val="1"/>
        </w:rPr>
        <w:t>‘</w:t>
      </w:r>
      <w:r>
        <w:rPr>
          <w:rStyle w:val="None"/>
          <w:rtl w:val="0"/>
          <w:lang w:val="en-US"/>
        </w:rPr>
        <w:t>Nature-based</w:t>
      </w:r>
      <w:r>
        <w:rPr>
          <w:rStyle w:val="None"/>
          <w:rtl w:val="1"/>
        </w:rPr>
        <w:t xml:space="preserve">’ </w:t>
      </w:r>
      <w:r>
        <w:rPr>
          <w:rStyle w:val="None"/>
          <w:rtl w:val="0"/>
          <w:lang w:val="en-US"/>
        </w:rPr>
        <w:t xml:space="preserve">computing example. The graphs are an illustrative example of </w:t>
      </w:r>
      <w:r>
        <w:rPr>
          <w:rStyle w:val="None"/>
          <w:rtl w:val="1"/>
        </w:rPr>
        <w:t>‘</w:t>
      </w:r>
      <w:r>
        <w:rPr>
          <w:rStyle w:val="None"/>
          <w:rtl w:val="0"/>
          <w:lang w:val="fr-FR"/>
        </w:rPr>
        <w:t>nature</w:t>
      </w:r>
      <w:r>
        <w:rPr>
          <w:rStyle w:val="None"/>
          <w:rtl w:val="1"/>
        </w:rPr>
        <w:t>’</w:t>
      </w:r>
      <w:r>
        <w:rPr>
          <w:rStyle w:val="None"/>
          <w:rtl w:val="0"/>
          <w:lang w:val="en-US"/>
        </w:rPr>
        <w:t>s ability to perform computation</w:t>
      </w:r>
      <w:r>
        <w:rPr>
          <w:rStyle w:val="None"/>
          <w:rtl w:val="1"/>
        </w:rPr>
        <w:t>’</w:t>
      </w:r>
      <w:r>
        <w:rPr>
          <w:rStyle w:val="None"/>
          <w:rtl w:val="0"/>
          <w:lang w:val="en-US"/>
        </w:rPr>
        <w:t>, as it shows a simple addition operation. A standard way to add two numbers involves a number of transistors tiled up using Boolean logic (shown using two bits of precision). Alternatively, one could simply combine currents from two wires, and utilise Kirchoff</w:t>
      </w:r>
      <w:r>
        <w:rPr>
          <w:rStyle w:val="None"/>
          <w:rtl w:val="1"/>
        </w:rPr>
        <w:t>’</w:t>
      </w:r>
      <w:r>
        <w:rPr>
          <w:rStyle w:val="None"/>
          <w:rtl w:val="0"/>
          <w:lang w:val="en-US"/>
        </w:rPr>
        <w:t>s Law which states that the currents on the third wire will constitute the sum.</w:t>
      </w:r>
    </w:p>
    <w:p>
      <w:pPr>
        <w:pStyle w:val="Body"/>
        <w:ind w:left="0" w:firstLine="0"/>
      </w:pPr>
    </w:p>
    <w:p>
      <w:pPr>
        <w:pStyle w:val="Body"/>
        <w:ind w:left="0" w:firstLine="0"/>
      </w:pPr>
      <w:r>
        <w:rPr>
          <w:rStyle w:val="None"/>
          <w:rtl w:val="0"/>
          <w:lang w:val="en-US"/>
        </w:rPr>
        <w:t xml:space="preserve">This idea can be taken a step further to perform </w:t>
      </w:r>
      <w:r>
        <w:rPr>
          <w:rStyle w:val="None"/>
          <w:rFonts w:ascii="Jost Bold" w:hAnsi="Jost Bold"/>
          <w:rtl w:val="0"/>
          <w:lang w:val="fr-FR"/>
        </w:rPr>
        <w:t>matrix multiplication</w:t>
      </w:r>
      <w:r>
        <w:rPr>
          <w:rStyle w:val="None"/>
          <w:rtl w:val="0"/>
          <w:lang w:val="en-US"/>
        </w:rPr>
        <w:t xml:space="preserve"> using a network of resistors and wires (utilising both Ohm</w:t>
      </w:r>
      <w:r>
        <w:rPr>
          <w:rStyle w:val="None"/>
          <w:rtl w:val="1"/>
        </w:rPr>
        <w:t>’</w:t>
      </w:r>
      <w:r>
        <w:rPr>
          <w:rStyle w:val="None"/>
          <w:rtl w:val="0"/>
          <w:lang w:val="de-DE"/>
        </w:rPr>
        <w:t>s and Kirchoff</w:t>
      </w:r>
      <w:r>
        <w:rPr>
          <w:rStyle w:val="None"/>
          <w:rtl w:val="1"/>
        </w:rPr>
        <w:t>’</w:t>
      </w:r>
      <w:r>
        <w:rPr>
          <w:rStyle w:val="None"/>
          <w:rtl w:val="0"/>
          <w:lang w:val="en-US"/>
        </w:rPr>
        <w:t>s laws as shown). Matrix multiplication operations serve as the fundamental primitive for all current AI training and inference accelerators. Alternative physical substrates have been proposed for these kernels with projected efficiency gains exceeding 1000x over the state-of-the-art [</w:t>
      </w:r>
      <w:r>
        <w:rPr>
          <w:rStyle w:val="Hyperlink.3"/>
        </w:rPr>
        <w:fldChar w:fldCharType="begin" w:fldLock="0"/>
      </w:r>
      <w:r>
        <w:rPr>
          <w:rStyle w:val="Hyperlink.3"/>
        </w:rPr>
        <w:instrText xml:space="preserve"> HYPERLINK "https://ieeexplore.ieee.org/document/8993599"</w:instrText>
      </w:r>
      <w:r>
        <w:rPr>
          <w:rStyle w:val="Hyperlink.3"/>
        </w:rPr>
        <w:fldChar w:fldCharType="separate" w:fldLock="0"/>
      </w:r>
      <w:r>
        <w:rPr>
          <w:rStyle w:val="Hyperlink.3"/>
          <w:rtl w:val="0"/>
        </w:rPr>
        <w:t>3</w:t>
      </w:r>
      <w:r>
        <w:rPr/>
        <w:fldChar w:fldCharType="end" w:fldLock="0"/>
      </w:r>
      <w:r>
        <w:rPr>
          <w:rStyle w:val="None"/>
          <w:i w:val="1"/>
          <w:iCs w:val="1"/>
          <w:rtl w:val="0"/>
        </w:rPr>
        <w:t xml:space="preserve">, </w:t>
      </w:r>
      <w:r>
        <w:rPr>
          <w:rStyle w:val="Hyperlink.3"/>
        </w:rPr>
        <w:fldChar w:fldCharType="begin" w:fldLock="0"/>
      </w:r>
      <w:r>
        <w:rPr>
          <w:rStyle w:val="Hyperlink.3"/>
        </w:rPr>
        <w:instrText xml:space="preserve"> HYPERLINK "https://arxiv.org/abs/2302.10360"</w:instrText>
      </w:r>
      <w:r>
        <w:rPr>
          <w:rStyle w:val="Hyperlink.3"/>
        </w:rPr>
        <w:fldChar w:fldCharType="separate" w:fldLock="0"/>
      </w:r>
      <w:r>
        <w:rPr>
          <w:rStyle w:val="Hyperlink.3"/>
          <w:rtl w:val="0"/>
        </w:rPr>
        <w:t>4</w:t>
      </w:r>
      <w:r>
        <w:rPr/>
        <w:fldChar w:fldCharType="end" w:fldLock="0"/>
      </w:r>
      <w:r>
        <w:rPr>
          <w:rStyle w:val="None"/>
          <w:rtl w:val="0"/>
          <w:lang w:val="en-US"/>
        </w:rPr>
        <w:t xml:space="preserve">], with the caveat being that the precision of computation is limited. Conventional wisdom has held that this reduced precision would restrict applicability at scale, but the </w:t>
      </w:r>
      <w:r>
        <w:rPr>
          <w:rStyle w:val="None"/>
          <w:i w:val="1"/>
          <w:iCs w:val="1"/>
          <w:rtl w:val="0"/>
        </w:rPr>
        <w:t>digital</w:t>
      </w:r>
      <w:r>
        <w:rPr>
          <w:rStyle w:val="None"/>
          <w:rtl w:val="0"/>
          <w:lang w:val="en-US"/>
        </w:rPr>
        <w:t xml:space="preserve"> AI accelerator community has recently shown that high levels of precision may not be necessary [</w:t>
      </w:r>
      <w:r>
        <w:rPr>
          <w:rStyle w:val="Hyperlink.4"/>
        </w:rPr>
        <w:fldChar w:fldCharType="begin" w:fldLock="0"/>
      </w:r>
      <w:r>
        <w:rPr>
          <w:rStyle w:val="Hyperlink.4"/>
        </w:rPr>
        <w:instrText xml:space="preserve"> HYPERLINK "https://ieeexplore.ieee.org/document/9830277"</w:instrText>
      </w:r>
      <w:r>
        <w:rPr>
          <w:rStyle w:val="Hyperlink.4"/>
        </w:rPr>
        <w:fldChar w:fldCharType="separate" w:fldLock="0"/>
      </w:r>
      <w:r>
        <w:rPr>
          <w:rStyle w:val="Hyperlink.4"/>
          <w:rtl w:val="0"/>
        </w:rPr>
        <w:t>5</w:t>
      </w:r>
      <w:r>
        <w:rPr/>
        <w:fldChar w:fldCharType="end" w:fldLock="0"/>
      </w:r>
      <w:r>
        <w:rPr>
          <w:rStyle w:val="None"/>
          <w:rtl w:val="0"/>
          <w:lang w:val="en-US"/>
        </w:rPr>
        <w:t xml:space="preserve">], raising the opportunity to challenge convention and realise significant systems-level benefits from low-power mixed-signal matrix multiplication.    </w:t>
      </w:r>
    </w:p>
    <w:p>
      <w:pPr>
        <w:pStyle w:val="Body"/>
        <w:ind w:left="0" w:firstLine="0"/>
        <w:jc w:val="center"/>
      </w:pPr>
      <w:r>
        <w:rPr>
          <w:rStyle w:val="None"/>
        </w:rPr>
        <w:drawing xmlns:a="http://schemas.openxmlformats.org/drawingml/2006/main">
          <wp:inline distT="0" distB="0" distL="0" distR="0">
            <wp:extent cx="4685913" cy="3418148"/>
            <wp:effectExtent l="0" t="0" r="0" b="0"/>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noChangeAspect="1"/>
                    </pic:cNvPicPr>
                  </pic:nvPicPr>
                  <pic:blipFill>
                    <a:blip r:embed="rId7">
                      <a:extLst/>
                    </a:blip>
                    <a:stretch>
                      <a:fillRect/>
                    </a:stretch>
                  </pic:blipFill>
                  <pic:spPr>
                    <a:xfrm>
                      <a:off x="0" y="0"/>
                      <a:ext cx="4685913" cy="3418148"/>
                    </a:xfrm>
                    <a:prstGeom prst="rect">
                      <a:avLst/>
                    </a:prstGeom>
                    <a:ln w="12700" cap="flat">
                      <a:noFill/>
                      <a:miter lim="400000"/>
                    </a:ln>
                    <a:effectLst/>
                  </pic:spPr>
                </pic:pic>
              </a:graphicData>
            </a:graphic>
          </wp:inline>
        </w:drawing>
      </w:r>
    </w:p>
    <w:p>
      <w:pPr>
        <w:pStyle w:val="Body"/>
        <w:spacing w:line="276" w:lineRule="auto"/>
        <w:ind w:left="0" w:firstLine="0"/>
      </w:pPr>
    </w:p>
    <w:p>
      <w:pPr>
        <w:pStyle w:val="Body"/>
        <w:ind w:left="0" w:firstLine="0"/>
      </w:pPr>
    </w:p>
    <w:p>
      <w:pPr>
        <w:pStyle w:val="Body"/>
        <w:ind w:left="0" w:firstLine="0"/>
      </w:pPr>
      <w:r>
        <w:rPr>
          <w:rStyle w:val="None"/>
          <w:rtl w:val="0"/>
          <w:lang w:val="en-US"/>
        </w:rPr>
        <w:t xml:space="preserve">Figure 2: The graph above shows a technology target for an AI accelerator, with the assumption that the operations are int8 number format. </w:t>
      </w:r>
    </w:p>
    <w:p>
      <w:pPr>
        <w:pStyle w:val="Body"/>
        <w:ind w:left="0" w:firstLine="0"/>
      </w:pPr>
    </w:p>
    <w:p>
      <w:pPr>
        <w:pStyle w:val="Body"/>
        <w:ind w:left="0" w:firstLine="0"/>
      </w:pPr>
      <w:r>
        <w:rPr>
          <w:rStyle w:val="None"/>
          <w:rtl w:val="0"/>
          <w:lang w:val="en-US"/>
        </w:rPr>
        <w:t xml:space="preserve">The energy/time requirements for these workloads are governed not just by the mathematical operations but also the resources required to get information to/from memory and to other processors. Technologies of interest will need to either a) address both the mathematical operation AND data transfer requirements, or b) operate at a large enough scale to effectively amortise the cost of shuttling information around.         </w:t>
      </w:r>
    </w:p>
    <w:p>
      <w:pPr>
        <w:pStyle w:val="Body"/>
        <w:ind w:left="0" w:firstLine="0"/>
      </w:pPr>
      <w:r>
        <w:rPr>
          <w:rStyle w:val="None"/>
          <w:rtl w:val="0"/>
        </w:rPr>
        <w:t xml:space="preserve"> </w:t>
      </w:r>
    </w:p>
    <w:p>
      <w:pPr>
        <w:pStyle w:val="Body"/>
        <w:ind w:left="0" w:firstLine="0"/>
        <w:rPr>
          <w:rStyle w:val="None"/>
          <w:rFonts w:ascii="Jost Bold" w:cs="Jost Bold" w:hAnsi="Jost Bold" w:eastAsia="Jost Bold"/>
        </w:rPr>
      </w:pPr>
      <w:r>
        <w:rPr>
          <w:rStyle w:val="None"/>
          <w:rtl w:val="0"/>
          <w:lang w:val="en-US"/>
        </w:rPr>
        <w:t xml:space="preserve">Similar to matrix multiplication, the ability to approximate </w:t>
      </w:r>
      <w:r>
        <w:rPr>
          <w:rStyle w:val="None"/>
          <w:rFonts w:ascii="Jost Bold" w:hAnsi="Jost Bold"/>
          <w:rtl w:val="0"/>
          <w:lang w:val="fr-FR"/>
        </w:rPr>
        <w:t>matrix inversion</w:t>
      </w:r>
      <w:r>
        <w:rPr>
          <w:rStyle w:val="None"/>
          <w:rtl w:val="0"/>
          <w:lang w:val="en-US"/>
        </w:rPr>
        <w:t xml:space="preserve"> represents another foundational computational kernel, applicable not only in AI but also in myriad other areas including next generation communication systems [</w:t>
      </w:r>
      <w:r>
        <w:rPr>
          <w:rStyle w:val="Hyperlink.3"/>
        </w:rPr>
        <w:fldChar w:fldCharType="begin" w:fldLock="0"/>
      </w:r>
      <w:r>
        <w:rPr>
          <w:rStyle w:val="Hyperlink.3"/>
        </w:rPr>
        <w:instrText xml:space="preserve"> HYPERLINK "https://dl.acm.org/doi/abs/10.1145/3447993.3448619"</w:instrText>
      </w:r>
      <w:r>
        <w:rPr>
          <w:rStyle w:val="Hyperlink.3"/>
        </w:rPr>
        <w:fldChar w:fldCharType="separate" w:fldLock="0"/>
      </w:r>
      <w:r>
        <w:rPr>
          <w:rStyle w:val="Hyperlink.3"/>
          <w:rtl w:val="0"/>
        </w:rPr>
        <w:t>6</w:t>
      </w:r>
      <w:r>
        <w:rPr/>
        <w:fldChar w:fldCharType="end" w:fldLock="0"/>
      </w:r>
      <w:r>
        <w:rPr>
          <w:rStyle w:val="None"/>
          <w:rtl w:val="0"/>
          <w:lang w:val="en-US"/>
        </w:rPr>
        <w:t>]. Recent proposals suggest that a variety of computational substrates are capable of exploiting energy-minimisation principles to efficiently compute matrix inverses [</w:t>
      </w:r>
      <w:r>
        <w:rPr>
          <w:rStyle w:val="Hyperlink.3"/>
        </w:rPr>
        <w:fldChar w:fldCharType="begin" w:fldLock="0"/>
      </w:r>
      <w:r>
        <w:rPr>
          <w:rStyle w:val="Hyperlink.3"/>
        </w:rPr>
        <w:instrText xml:space="preserve"> HYPERLINK "https://arxiv.org/abs/2308.05660"</w:instrText>
      </w:r>
      <w:r>
        <w:rPr>
          <w:rStyle w:val="Hyperlink.3"/>
        </w:rPr>
        <w:fldChar w:fldCharType="separate" w:fldLock="0"/>
      </w:r>
      <w:r>
        <w:rPr>
          <w:rStyle w:val="Hyperlink.3"/>
          <w:rtl w:val="0"/>
        </w:rPr>
        <w:t>7</w:t>
      </w:r>
      <w:r>
        <w:rPr/>
        <w:fldChar w:fldCharType="end" w:fldLock="0"/>
      </w:r>
      <w:r>
        <w:rPr>
          <w:rStyle w:val="None"/>
          <w:i w:val="1"/>
          <w:iCs w:val="1"/>
          <w:rtl w:val="0"/>
        </w:rPr>
        <w:t xml:space="preserve">, </w:t>
      </w:r>
      <w:r>
        <w:rPr>
          <w:rStyle w:val="Hyperlink.3"/>
        </w:rPr>
        <w:fldChar w:fldCharType="begin" w:fldLock="0"/>
      </w:r>
      <w:r>
        <w:rPr>
          <w:rStyle w:val="Hyperlink.3"/>
        </w:rPr>
        <w:instrText xml:space="preserve"> HYPERLINK "https://www.pnas.org/doi/10.1073/pnas.2015192117"</w:instrText>
      </w:r>
      <w:r>
        <w:rPr>
          <w:rStyle w:val="Hyperlink.3"/>
        </w:rPr>
        <w:fldChar w:fldCharType="separate" w:fldLock="0"/>
      </w:r>
      <w:r>
        <w:rPr>
          <w:rStyle w:val="Hyperlink.3"/>
          <w:rtl w:val="0"/>
        </w:rPr>
        <w:t>8</w:t>
      </w:r>
      <w:r>
        <w:rPr/>
        <w:fldChar w:fldCharType="end" w:fldLock="0"/>
      </w:r>
      <w:r>
        <w:rPr>
          <w:rStyle w:val="None"/>
          <w:rtl w:val="0"/>
          <w:lang w:val="en-US"/>
        </w:rPr>
        <w:t xml:space="preserve">], but hardware demonstrations and comparisons against digital alternatives have yet to be shown. </w:t>
      </w:r>
    </w:p>
    <w:p>
      <w:pPr>
        <w:pStyle w:val="Body"/>
        <w:ind w:left="0" w:firstLine="0"/>
        <w:jc w:val="center"/>
        <w:rPr>
          <w:rStyle w:val="None"/>
          <w:rFonts w:ascii="Jost Bold" w:cs="Jost Bold" w:hAnsi="Jost Bold" w:eastAsia="Jost Bold"/>
        </w:rPr>
      </w:pPr>
      <w:r>
        <w:rPr>
          <w:rStyle w:val="None"/>
          <w:rFonts w:ascii="Jost Bold" w:cs="Jost Bold" w:hAnsi="Jost Bold" w:eastAsia="Jost Bold"/>
        </w:rPr>
        <w:drawing xmlns:a="http://schemas.openxmlformats.org/drawingml/2006/main">
          <wp:inline distT="0" distB="0" distL="0" distR="0">
            <wp:extent cx="3599085" cy="2031957"/>
            <wp:effectExtent l="0" t="0" r="0" b="0"/>
            <wp:docPr id="1073741830" name="officeArt object" descr="image3.png"/>
            <wp:cNvGraphicFramePr/>
            <a:graphic xmlns:a="http://schemas.openxmlformats.org/drawingml/2006/main">
              <a:graphicData uri="http://schemas.openxmlformats.org/drawingml/2006/picture">
                <pic:pic xmlns:pic="http://schemas.openxmlformats.org/drawingml/2006/picture">
                  <pic:nvPicPr>
                    <pic:cNvPr id="1073741830" name="image3.png" descr="image3.png"/>
                    <pic:cNvPicPr>
                      <a:picLocks noChangeAspect="1"/>
                    </pic:cNvPicPr>
                  </pic:nvPicPr>
                  <pic:blipFill>
                    <a:blip r:embed="rId8">
                      <a:extLst/>
                    </a:blip>
                    <a:stretch>
                      <a:fillRect/>
                    </a:stretch>
                  </pic:blipFill>
                  <pic:spPr>
                    <a:xfrm>
                      <a:off x="0" y="0"/>
                      <a:ext cx="3599085" cy="2031957"/>
                    </a:xfrm>
                    <a:prstGeom prst="rect">
                      <a:avLst/>
                    </a:prstGeom>
                    <a:ln w="12700" cap="flat">
                      <a:noFill/>
                      <a:miter lim="400000"/>
                    </a:ln>
                    <a:effectLst/>
                  </pic:spPr>
                </pic:pic>
              </a:graphicData>
            </a:graphic>
          </wp:inline>
        </w:drawing>
      </w:r>
    </w:p>
    <w:p>
      <w:pPr>
        <w:pStyle w:val="Body"/>
        <w:ind w:left="0" w:firstLine="0"/>
      </w:pPr>
      <w:r>
        <w:rPr>
          <w:rStyle w:val="None"/>
          <w:rtl w:val="0"/>
          <w:lang w:val="en-US"/>
        </w:rPr>
        <w:t xml:space="preserve">Figure 3: The graph shows that gradient descent, simulated annealing, and Lagrange multipliers are ALL examples of mathematical optimisation routines designed around finding </w:t>
      </w:r>
      <w:r>
        <w:rPr>
          <w:rStyle w:val="None"/>
          <w:rtl w:val="1"/>
        </w:rPr>
        <w:t>‘</w:t>
      </w:r>
      <w:r>
        <w:rPr>
          <w:rStyle w:val="None"/>
          <w:rtl w:val="0"/>
          <w:lang w:val="en-US"/>
        </w:rPr>
        <w:t>low-energy</w:t>
      </w:r>
      <w:r>
        <w:rPr>
          <w:rStyle w:val="None"/>
          <w:rtl w:val="1"/>
        </w:rPr>
        <w:t xml:space="preserve">’ </w:t>
      </w:r>
      <w:r>
        <w:rPr>
          <w:rStyle w:val="None"/>
          <w:rtl w:val="0"/>
          <w:lang w:val="en-US"/>
        </w:rPr>
        <w:t>energy solutions.</w:t>
      </w:r>
    </w:p>
    <w:p>
      <w:pPr>
        <w:pStyle w:val="Body"/>
        <w:ind w:left="0" w:firstLine="0"/>
        <w:rPr>
          <w:rStyle w:val="None"/>
          <w:rFonts w:ascii="Jost Bold" w:cs="Jost Bold" w:hAnsi="Jost Bold" w:eastAsia="Jost Bold"/>
        </w:rPr>
      </w:pPr>
      <w:r>
        <w:rPr>
          <w:rStyle w:val="None"/>
          <w:rFonts w:ascii="Jost Bold" w:cs="Jost Bold" w:hAnsi="Jost Bold" w:eastAsia="Jost Bold"/>
        </w:rPr>
        <w:tab/>
      </w:r>
    </w:p>
    <w:p>
      <w:pPr>
        <w:pStyle w:val="Body"/>
        <w:ind w:left="0" w:firstLine="0"/>
      </w:pPr>
      <w:r>
        <w:rPr>
          <w:rStyle w:val="None"/>
          <w:rtl w:val="0"/>
          <w:lang w:val="en-US"/>
        </w:rPr>
        <w:t xml:space="preserve">The study of physical systems which perform computation on the basis of minimising energy bears close resemblance to the process of training a large neural network, which itself entails finding specific weights and biases that </w:t>
      </w:r>
      <w:r>
        <w:rPr>
          <w:rStyle w:val="None"/>
          <w:rtl w:val="1"/>
        </w:rPr>
        <w:t>‘</w:t>
      </w:r>
      <w:r>
        <w:rPr>
          <w:rStyle w:val="None"/>
          <w:rtl w:val="0"/>
          <w:lang w:val="en-US"/>
        </w:rPr>
        <w:t>minimise energy</w:t>
      </w:r>
      <w:r>
        <w:rPr>
          <w:rStyle w:val="None"/>
          <w:rtl w:val="1"/>
        </w:rPr>
        <w:t xml:space="preserve">’ </w:t>
      </w:r>
      <w:r>
        <w:rPr>
          <w:rStyle w:val="None"/>
          <w:rtl w:val="0"/>
          <w:lang w:val="en-US"/>
        </w:rPr>
        <w:t xml:space="preserve">of a simulated objective function (see FIG above).   The standard way of doing this (stochastic gradient descent and the backpropagation algorithm) has become ubiquitous, but its remarkable performance should not preclude alternatives. It is not yet known whether the brain performs backpropagation, and other under-explored algorithms may exist which perform equally well or better. Examples of these alternative </w:t>
      </w:r>
      <w:r>
        <w:rPr>
          <w:rStyle w:val="None"/>
          <w:rFonts w:ascii="Jost Bold" w:hAnsi="Jost Bold"/>
          <w:rtl w:val="0"/>
          <w:lang w:val="en-US"/>
        </w:rPr>
        <w:t>energy-based training algorithms</w:t>
      </w:r>
      <w:r>
        <w:rPr>
          <w:rStyle w:val="None"/>
          <w:rtl w:val="0"/>
          <w:lang w:val="en-US"/>
        </w:rPr>
        <w:t xml:space="preserve"> have begun to emerge from the neuroscience community [</w:t>
      </w:r>
      <w:r>
        <w:rPr>
          <w:rStyle w:val="Hyperlink.3"/>
        </w:rPr>
        <w:fldChar w:fldCharType="begin" w:fldLock="0"/>
      </w:r>
      <w:r>
        <w:rPr>
          <w:rStyle w:val="Hyperlink.3"/>
        </w:rPr>
        <w:instrText xml:space="preserve"> HYPERLINK "https://www.frontiersin.org/articles/10.3389/fncom.2017.00024/full"</w:instrText>
      </w:r>
      <w:r>
        <w:rPr>
          <w:rStyle w:val="Hyperlink.3"/>
        </w:rPr>
        <w:fldChar w:fldCharType="separate" w:fldLock="0"/>
      </w:r>
      <w:r>
        <w:rPr>
          <w:rStyle w:val="Hyperlink.3"/>
          <w:rtl w:val="0"/>
        </w:rPr>
        <w:t>9</w:t>
      </w:r>
      <w:r>
        <w:rPr/>
        <w:fldChar w:fldCharType="end" w:fldLock="0"/>
      </w:r>
      <w:r>
        <w:rPr>
          <w:rStyle w:val="None"/>
          <w:i w:val="1"/>
          <w:iCs w:val="1"/>
          <w:rtl w:val="0"/>
        </w:rPr>
        <w:t xml:space="preserve">, </w:t>
      </w:r>
      <w:r>
        <w:rPr>
          <w:rStyle w:val="Hyperlink.3"/>
        </w:rPr>
        <w:fldChar w:fldCharType="begin" w:fldLock="0"/>
      </w:r>
      <w:r>
        <w:rPr>
          <w:rStyle w:val="Hyperlink.3"/>
        </w:rPr>
        <w:instrText xml:space="preserve"> HYPERLINK "https://arxiv.org/abs/2212.13345"</w:instrText>
      </w:r>
      <w:r>
        <w:rPr>
          <w:rStyle w:val="Hyperlink.3"/>
        </w:rPr>
        <w:fldChar w:fldCharType="separate" w:fldLock="0"/>
      </w:r>
      <w:r>
        <w:rPr>
          <w:rStyle w:val="Hyperlink.3"/>
          <w:rtl w:val="0"/>
        </w:rPr>
        <w:t>10</w:t>
      </w:r>
      <w:r>
        <w:rPr/>
        <w:fldChar w:fldCharType="end" w:fldLock="0"/>
      </w:r>
      <w:r>
        <w:rPr>
          <w:rStyle w:val="None"/>
          <w:rtl w:val="0"/>
        </w:rPr>
        <w:t xml:space="preserve">, </w:t>
      </w:r>
      <w:r>
        <w:rPr>
          <w:rStyle w:val="Hyperlink.4"/>
        </w:rPr>
        <w:fldChar w:fldCharType="begin" w:fldLock="0"/>
      </w:r>
      <w:r>
        <w:rPr>
          <w:rStyle w:val="Hyperlink.4"/>
        </w:rPr>
        <w:instrText xml:space="preserve"> HYPERLINK "https://arxiv.org/abs/2206.02629"</w:instrText>
      </w:r>
      <w:r>
        <w:rPr>
          <w:rStyle w:val="Hyperlink.4"/>
        </w:rPr>
        <w:fldChar w:fldCharType="separate" w:fldLock="0"/>
      </w:r>
      <w:r>
        <w:rPr>
          <w:rStyle w:val="Hyperlink.4"/>
          <w:rtl w:val="0"/>
        </w:rPr>
        <w:t>11</w:t>
      </w:r>
      <w:r>
        <w:rPr/>
        <w:fldChar w:fldCharType="end" w:fldLock="0"/>
      </w:r>
      <w:r>
        <w:rPr>
          <w:rStyle w:val="None"/>
          <w:rtl w:val="0"/>
          <w:lang w:val="en-US"/>
        </w:rPr>
        <w:t xml:space="preserve">], but they have yet to demonstrate their capabilities at scale (and on modern transformer network architectures). This gap is narrowing with time, and could benefit from a large concerted effort to prove (or disprove) merit.  Alternative algorithms will offer an entirely new design space for computer architects to exploit in designing new hardware. </w:t>
      </w:r>
    </w:p>
    <w:p>
      <w:pPr>
        <w:pStyle w:val="Body"/>
        <w:ind w:left="0" w:firstLine="0"/>
        <w:rPr>
          <w:rStyle w:val="None"/>
          <w:rFonts w:ascii="Jost Bold" w:cs="Jost Bold" w:hAnsi="Jost Bold" w:eastAsia="Jost Bold"/>
        </w:rPr>
      </w:pPr>
    </w:p>
    <w:p>
      <w:pPr>
        <w:pStyle w:val="Body"/>
        <w:ind w:left="0" w:firstLine="0"/>
      </w:pPr>
      <w:r>
        <w:rPr>
          <w:rStyle w:val="None"/>
          <w:rFonts w:ascii="Jost Bold" w:hAnsi="Jost Bold"/>
          <w:rtl w:val="0"/>
          <w:lang w:val="en-US"/>
        </w:rPr>
        <w:t>Monte Carlo methods</w:t>
      </w:r>
      <w:r>
        <w:rPr>
          <w:rStyle w:val="None"/>
          <w:rtl w:val="0"/>
          <w:lang w:val="en-US"/>
        </w:rPr>
        <w:t xml:space="preserve"> represent yet another critical computational primitive underpinning a wide variety of scientific disciplines, from materials discovery to protein folding to weather prediction [</w:t>
      </w:r>
      <w:r>
        <w:rPr>
          <w:rStyle w:val="Hyperlink.3"/>
        </w:rPr>
        <w:fldChar w:fldCharType="begin" w:fldLock="0"/>
      </w:r>
      <w:r>
        <w:rPr>
          <w:rStyle w:val="Hyperlink.3"/>
        </w:rPr>
        <w:instrText xml:space="preserve"> HYPERLINK "https://arxiv.org/abs/0905.1629"</w:instrText>
      </w:r>
      <w:r>
        <w:rPr>
          <w:rStyle w:val="Hyperlink.3"/>
        </w:rPr>
        <w:fldChar w:fldCharType="separate" w:fldLock="0"/>
      </w:r>
      <w:r>
        <w:rPr>
          <w:rStyle w:val="Hyperlink.3"/>
          <w:rtl w:val="0"/>
        </w:rPr>
        <w:t>12</w:t>
      </w:r>
      <w:r>
        <w:rPr/>
        <w:fldChar w:fldCharType="end" w:fldLock="0"/>
      </w:r>
      <w:r>
        <w:rPr>
          <w:rStyle w:val="None"/>
          <w:rtl w:val="0"/>
          <w:lang w:val="en-US"/>
        </w:rPr>
        <w:t xml:space="preserve">].  The concept of intelligent sampling is again primarily targeted at finding </w:t>
      </w:r>
      <w:r>
        <w:rPr>
          <w:rStyle w:val="None"/>
          <w:rtl w:val="1"/>
        </w:rPr>
        <w:t>‘</w:t>
      </w:r>
      <w:r>
        <w:rPr>
          <w:rStyle w:val="None"/>
          <w:rtl w:val="0"/>
          <w:lang w:val="en-US"/>
        </w:rPr>
        <w:t>low-energy</w:t>
      </w:r>
      <w:r>
        <w:rPr>
          <w:rStyle w:val="None"/>
          <w:rtl w:val="1"/>
        </w:rPr>
        <w:t xml:space="preserve">’ </w:t>
      </w:r>
      <w:r>
        <w:rPr>
          <w:rStyle w:val="None"/>
          <w:rtl w:val="0"/>
          <w:lang w:val="en-US"/>
        </w:rPr>
        <w:t xml:space="preserve">solutions to complex landscapes, usually in cases where the energy surface is not continuous. Noise plays a critical role in helping sample the widest possible solution space, but this noise is typically introduced artificially. Meanwhile, noise is inherent in every physical system but is rarely utilised as a computational tool, providing an opportunity for large performance improvements. </w:t>
      </w:r>
    </w:p>
    <w:p>
      <w:pPr>
        <w:pStyle w:val="Body"/>
        <w:ind w:left="0" w:firstLine="0"/>
      </w:pPr>
      <w:r>
        <w:rPr>
          <w:rStyle w:val="None"/>
        </w:rPr>
        <w:drawing xmlns:a="http://schemas.openxmlformats.org/drawingml/2006/main">
          <wp:inline distT="0" distB="0" distL="0" distR="0">
            <wp:extent cx="5943473" cy="2163633"/>
            <wp:effectExtent l="0" t="0" r="0" b="0"/>
            <wp:docPr id="1073741831" name="officeArt object" descr="image6.png"/>
            <wp:cNvGraphicFramePr/>
            <a:graphic xmlns:a="http://schemas.openxmlformats.org/drawingml/2006/main">
              <a:graphicData uri="http://schemas.openxmlformats.org/drawingml/2006/picture">
                <pic:pic xmlns:pic="http://schemas.openxmlformats.org/drawingml/2006/picture">
                  <pic:nvPicPr>
                    <pic:cNvPr id="1073741831" name="image6.png" descr="image6.png"/>
                    <pic:cNvPicPr>
                      <a:picLocks noChangeAspect="1"/>
                    </pic:cNvPicPr>
                  </pic:nvPicPr>
                  <pic:blipFill>
                    <a:blip r:embed="rId9">
                      <a:extLst/>
                    </a:blip>
                    <a:stretch>
                      <a:fillRect/>
                    </a:stretch>
                  </pic:blipFill>
                  <pic:spPr>
                    <a:xfrm>
                      <a:off x="0" y="0"/>
                      <a:ext cx="5943473" cy="2163633"/>
                    </a:xfrm>
                    <a:prstGeom prst="rect">
                      <a:avLst/>
                    </a:prstGeom>
                    <a:ln w="12700" cap="flat">
                      <a:noFill/>
                      <a:miter lim="400000"/>
                    </a:ln>
                    <a:effectLst/>
                  </pic:spPr>
                </pic:pic>
              </a:graphicData>
            </a:graphic>
          </wp:inline>
        </w:drawing>
      </w:r>
    </w:p>
    <w:p>
      <w:pPr>
        <w:pStyle w:val="Body"/>
        <w:ind w:left="0" w:firstLine="0"/>
      </w:pPr>
    </w:p>
    <w:p>
      <w:pPr>
        <w:pStyle w:val="Body"/>
        <w:ind w:left="0" w:firstLine="0"/>
      </w:pPr>
      <w:r>
        <w:rPr>
          <w:rStyle w:val="None"/>
          <w:rtl w:val="0"/>
          <w:lang w:val="en-US"/>
        </w:rPr>
        <w:t>Figure 4: The image provides an example technology stack.</w:t>
      </w:r>
    </w:p>
    <w:p>
      <w:pPr>
        <w:pStyle w:val="Body"/>
        <w:ind w:left="0" w:firstLine="0"/>
      </w:pPr>
    </w:p>
    <w:p>
      <w:pPr>
        <w:pStyle w:val="Body"/>
        <w:ind w:left="0" w:firstLine="0"/>
      </w:pPr>
      <w:r>
        <w:rPr>
          <w:rStyle w:val="None"/>
          <w:rtl w:val="0"/>
          <w:lang w:val="en-US"/>
        </w:rPr>
        <w:t xml:space="preserve">Many layers exist in the technology stack separating end users from the underlying hardware (shown above).  The programme will identify key primitives (dark block in the figure), set ambitious system-level goals which rely heavily upon those primitives, and pursue research in any of the highlighted areas which are best suited to achieve those goals. Take as an example the system-level goal defined in Figure 2 (with matrix multiplication representing the kernel of interest). In this particular case, meeting these targets may require some combination of efforts from research foundries developing novel high-density memory technology, design teams to develop circuit IP, systems engineers to build a scalable/usable server, and algorithms researchers to contribute precision-tolerant AI models. A depiction of different possible technologies for this are shown in Figure 4. Each effort would be evaluated based on its own isolated metrics, but the overall goal would require integration between the layers.     </w:t>
      </w:r>
    </w:p>
    <w:p>
      <w:pPr>
        <w:pStyle w:val="Body"/>
        <w:ind w:left="0" w:firstLine="0"/>
      </w:pPr>
    </w:p>
    <w:p>
      <w:pPr>
        <w:pStyle w:val="Heading 2"/>
        <w:ind w:left="0" w:firstLine="0"/>
        <w:rPr>
          <w:rStyle w:val="None"/>
          <w:rFonts w:ascii="Jost Bold" w:cs="Jost Bold" w:hAnsi="Jost Bold" w:eastAsia="Jost Bold"/>
        </w:rPr>
      </w:pPr>
      <w:bookmarkStart w:name="_bbz7cocz2jy" w:id="10"/>
      <w:bookmarkEnd w:id="10"/>
      <w:r>
        <w:rPr>
          <w:rStyle w:val="None"/>
          <w:rFonts w:ascii="Jost Bold" w:hAnsi="Jost Bold"/>
          <w:rtl w:val="0"/>
        </w:rPr>
        <w:t>H</w:t>
      </w:r>
      <w:r>
        <w:rPr>
          <w:rStyle w:val="None"/>
          <w:rFonts w:ascii="Jost Bold" w:hAnsi="Jost Bold"/>
          <w:rtl w:val="0"/>
          <w:lang w:val="en-US"/>
        </w:rPr>
        <w:t xml:space="preserve">ow we expect to fund </w:t>
      </w:r>
    </w:p>
    <w:p>
      <w:pPr>
        <w:pStyle w:val="Body"/>
        <w:ind w:left="0" w:firstLine="0"/>
      </w:pPr>
    </w:p>
    <w:p>
      <w:pPr>
        <w:pStyle w:val="Body"/>
        <w:ind w:left="0" w:firstLine="0"/>
      </w:pPr>
      <w:r>
        <w:rPr>
          <w:rStyle w:val="None"/>
          <w:rtl w:val="0"/>
          <w:lang w:val="en-US"/>
        </w:rPr>
        <w:t xml:space="preserve">Regardless of the kernel chosen, well-defined sets of benchmarks will be required to evaluate performance. Teams would be charged with showing that, for a set of target workloads, specific performance/cost metrics can be met representing a radical step-change over the projected state-of-the-art.    </w:t>
      </w:r>
    </w:p>
    <w:p>
      <w:pPr>
        <w:pStyle w:val="Body"/>
        <w:ind w:left="0" w:firstLine="0"/>
      </w:pPr>
    </w:p>
    <w:p>
      <w:pPr>
        <w:pStyle w:val="Body"/>
        <w:ind w:left="0" w:firstLine="0"/>
      </w:pPr>
      <w:r>
        <w:rPr>
          <w:rStyle w:val="None"/>
          <w:rtl w:val="0"/>
          <w:lang w:val="en-US"/>
        </w:rPr>
        <w:t>Examples of interesting research pursuits include (but are not limited to):</w:t>
      </w:r>
    </w:p>
    <w:p>
      <w:pPr>
        <w:pStyle w:val="Body"/>
        <w:numPr>
          <w:ilvl w:val="0"/>
          <w:numId w:val="12"/>
        </w:numPr>
        <w:rPr>
          <w:lang w:val="en-US"/>
        </w:rPr>
      </w:pPr>
      <w:r>
        <w:rPr>
          <w:rStyle w:val="None"/>
          <w:rtl w:val="0"/>
          <w:lang w:val="en-US"/>
        </w:rPr>
        <w:t>Mixed-signal in-memory computational architectures</w:t>
      </w:r>
    </w:p>
    <w:p>
      <w:pPr>
        <w:pStyle w:val="Body"/>
        <w:numPr>
          <w:ilvl w:val="0"/>
          <w:numId w:val="12"/>
        </w:numPr>
        <w:rPr>
          <w:lang w:val="en-US"/>
        </w:rPr>
      </w:pPr>
      <w:r>
        <w:rPr>
          <w:rStyle w:val="None"/>
          <w:rtl w:val="0"/>
          <w:lang w:val="en-US"/>
        </w:rPr>
        <w:t>Memory technologies with ultra high density, low-power, or improved input/output</w:t>
      </w:r>
    </w:p>
    <w:p>
      <w:pPr>
        <w:pStyle w:val="Body"/>
        <w:numPr>
          <w:ilvl w:val="0"/>
          <w:numId w:val="12"/>
        </w:numPr>
        <w:rPr>
          <w:lang w:val="en-US"/>
        </w:rPr>
      </w:pPr>
      <w:r>
        <w:rPr>
          <w:rStyle w:val="None"/>
          <w:rtl w:val="0"/>
          <w:lang w:val="en-US"/>
        </w:rPr>
        <w:t>Novel quantization or number representation techniques for AI training</w:t>
      </w:r>
    </w:p>
    <w:p>
      <w:pPr>
        <w:pStyle w:val="Body"/>
        <w:numPr>
          <w:ilvl w:val="0"/>
          <w:numId w:val="12"/>
        </w:numPr>
        <w:rPr>
          <w:lang w:val="en-US"/>
        </w:rPr>
      </w:pPr>
      <w:r>
        <w:rPr>
          <w:rStyle w:val="None"/>
          <w:rtl w:val="0"/>
          <w:lang w:val="en-US"/>
        </w:rPr>
        <w:t>Low-energy chip-chip communication technologies</w:t>
      </w:r>
    </w:p>
    <w:p>
      <w:pPr>
        <w:pStyle w:val="Body"/>
        <w:numPr>
          <w:ilvl w:val="0"/>
          <w:numId w:val="12"/>
        </w:numPr>
        <w:rPr>
          <w:lang w:val="en-US"/>
        </w:rPr>
      </w:pPr>
      <w:r>
        <w:rPr>
          <w:rStyle w:val="None"/>
          <w:rtl w:val="0"/>
          <w:lang w:val="en-US"/>
        </w:rPr>
        <w:t>AI training algorithms utilising energy-based models</w:t>
      </w:r>
    </w:p>
    <w:p>
      <w:pPr>
        <w:pStyle w:val="Body"/>
        <w:numPr>
          <w:ilvl w:val="0"/>
          <w:numId w:val="12"/>
        </w:numPr>
        <w:rPr>
          <w:lang w:val="en-US"/>
        </w:rPr>
      </w:pPr>
      <w:r>
        <w:rPr>
          <w:rStyle w:val="None"/>
          <w:rtl w:val="0"/>
          <w:lang w:val="en-US"/>
        </w:rPr>
        <w:t>Probabilistic programming and hardware</w:t>
      </w:r>
    </w:p>
    <w:p>
      <w:pPr>
        <w:pStyle w:val="Body"/>
        <w:numPr>
          <w:ilvl w:val="0"/>
          <w:numId w:val="12"/>
        </w:numPr>
        <w:rPr>
          <w:lang w:val="en-US"/>
        </w:rPr>
      </w:pPr>
      <w:r>
        <w:rPr>
          <w:rStyle w:val="None"/>
          <w:rtl w:val="0"/>
          <w:lang w:val="en-US"/>
        </w:rPr>
        <w:t>Optical (or other physics-based) matrix multipliers</w:t>
      </w:r>
    </w:p>
    <w:p>
      <w:pPr>
        <w:pStyle w:val="Body"/>
        <w:numPr>
          <w:ilvl w:val="0"/>
          <w:numId w:val="12"/>
        </w:numPr>
        <w:rPr>
          <w:lang w:val="en-US"/>
        </w:rPr>
      </w:pPr>
      <w:r>
        <w:rPr>
          <w:rStyle w:val="None"/>
          <w:rtl w:val="0"/>
          <w:lang w:val="en-US"/>
        </w:rPr>
        <w:t>Neuromorphic architectures or algorithms which break away from purely digital electronics</w:t>
      </w:r>
    </w:p>
    <w:p>
      <w:pPr>
        <w:pStyle w:val="Body"/>
        <w:numPr>
          <w:ilvl w:val="0"/>
          <w:numId w:val="12"/>
        </w:numPr>
        <w:rPr>
          <w:lang w:val="en-US"/>
        </w:rPr>
      </w:pPr>
      <w:r>
        <w:rPr>
          <w:rStyle w:val="None"/>
          <w:rtl w:val="0"/>
          <w:lang w:val="en-US"/>
        </w:rPr>
        <w:t xml:space="preserve">Repurposed </w:t>
      </w:r>
      <w:r>
        <w:rPr>
          <w:rStyle w:val="None"/>
          <w:rtl w:val="1"/>
        </w:rPr>
        <w:t>‘</w:t>
      </w:r>
      <w:r>
        <w:rPr>
          <w:rStyle w:val="None"/>
          <w:rtl w:val="0"/>
        </w:rPr>
        <w:t>noisy</w:t>
      </w:r>
      <w:r>
        <w:rPr>
          <w:rStyle w:val="None"/>
          <w:rtl w:val="1"/>
        </w:rPr>
        <w:t xml:space="preserve">’ </w:t>
      </w:r>
      <w:r>
        <w:rPr>
          <w:rStyle w:val="None"/>
          <w:rtl w:val="0"/>
          <w:lang w:val="en-US"/>
        </w:rPr>
        <w:t>quantum technologies for fast/efficient sampling in hybrid architectures</w:t>
      </w:r>
    </w:p>
    <w:p>
      <w:pPr>
        <w:pStyle w:val="Body"/>
        <w:ind w:left="0" w:firstLine="0"/>
      </w:pPr>
    </w:p>
    <w:p>
      <w:pPr>
        <w:pStyle w:val="Body"/>
        <w:ind w:left="0" w:firstLine="0"/>
      </w:pPr>
      <w:r>
        <w:rPr>
          <w:rStyle w:val="None"/>
          <w:rtl w:val="0"/>
          <w:lang w:val="en-US"/>
        </w:rPr>
        <w:t>Two distinct types of awards are envisioned:</w:t>
      </w:r>
    </w:p>
    <w:p>
      <w:pPr>
        <w:pStyle w:val="Body"/>
        <w:ind w:left="0" w:firstLine="0"/>
      </w:pPr>
      <w:r>
        <w:rPr>
          <w:rStyle w:val="None"/>
          <w:rtl w:val="0"/>
        </w:rPr>
        <w:t xml:space="preserve"> </w:t>
      </w:r>
    </w:p>
    <w:p>
      <w:pPr>
        <w:pStyle w:val="Body"/>
        <w:numPr>
          <w:ilvl w:val="0"/>
          <w:numId w:val="14"/>
        </w:numPr>
        <w:rPr>
          <w:lang w:val="en-US"/>
        </w:rPr>
      </w:pPr>
      <w:r>
        <w:rPr>
          <w:rStyle w:val="None"/>
          <w:rtl w:val="0"/>
          <w:lang w:val="en-US"/>
        </w:rPr>
        <w:t xml:space="preserve">Bold </w:t>
      </w:r>
      <w:r>
        <w:rPr>
          <w:rStyle w:val="None"/>
          <w:rFonts w:ascii="Jost Bold" w:hAnsi="Jost Bold"/>
          <w:rtl w:val="0"/>
          <w:lang w:val="fr-FR"/>
        </w:rPr>
        <w:t>solutions:</w:t>
      </w:r>
      <w:r>
        <w:rPr>
          <w:rStyle w:val="None"/>
          <w:rtl w:val="0"/>
          <w:lang w:val="en-US"/>
        </w:rPr>
        <w:t xml:space="preserve"> Granted to coordinated teams building integrated systems which can be externally evaluated against target specifications. Evaluation will consider key factors we believe will influence future commercial ecosystem viability (including simulation/design software, licensable circuit IP, compiler technology, scalability, cost, and manufacturability) </w:t>
      </w:r>
    </w:p>
    <w:p>
      <w:pPr>
        <w:pStyle w:val="Body"/>
        <w:ind w:firstLine="720"/>
      </w:pPr>
      <w:r>
        <w:rPr>
          <w:rStyle w:val="None"/>
          <w:rtl w:val="0"/>
        </w:rPr>
        <w:t xml:space="preserve">     </w:t>
      </w:r>
    </w:p>
    <w:p>
      <w:pPr>
        <w:pStyle w:val="Body"/>
        <w:numPr>
          <w:ilvl w:val="0"/>
          <w:numId w:val="14"/>
        </w:numPr>
        <w:rPr>
          <w:lang w:val="en-US"/>
        </w:rPr>
      </w:pPr>
      <w:r>
        <w:rPr>
          <w:rStyle w:val="None"/>
          <w:rtl w:val="0"/>
          <w:lang w:val="en-US"/>
        </w:rPr>
        <w:t xml:space="preserve">Bold </w:t>
      </w:r>
      <w:r>
        <w:rPr>
          <w:rStyle w:val="None"/>
          <w:rFonts w:ascii="Jost Bold" w:hAnsi="Jost Bold"/>
          <w:rtl w:val="0"/>
          <w:lang w:val="en-US"/>
        </w:rPr>
        <w:t>ideas:</w:t>
      </w:r>
      <w:r>
        <w:rPr>
          <w:rStyle w:val="None"/>
          <w:rtl w:val="0"/>
          <w:lang w:val="en-US"/>
        </w:rPr>
        <w:t xml:space="preserve"> Granted to radical ideas at the proof of concept stage with little regard for such factors.  </w:t>
      </w:r>
    </w:p>
    <w:p>
      <w:pPr>
        <w:pStyle w:val="Body"/>
        <w:ind w:left="0" w:firstLine="0"/>
      </w:pPr>
      <w:r>
        <w:rPr>
          <w:rStyle w:val="None"/>
          <w:rtl w:val="0"/>
        </w:rPr>
        <w:t xml:space="preserve"> </w:t>
      </w:r>
    </w:p>
    <w:p>
      <w:pPr>
        <w:pStyle w:val="Body"/>
        <w:ind w:left="0" w:firstLine="0"/>
      </w:pPr>
      <w:r>
        <w:rPr>
          <w:rStyle w:val="None"/>
          <w:rtl w:val="0"/>
          <w:lang w:val="en-US"/>
        </w:rPr>
        <w:t xml:space="preserve">Creators (recipients of ARIA funding) will be expected to participate in shared reviews to understand critical roadblocks, discuss progress, and brainstorm paths toward common programme goals.   </w:t>
      </w:r>
    </w:p>
    <w:p>
      <w:pPr>
        <w:pStyle w:val="Body"/>
        <w:ind w:left="0" w:firstLine="0"/>
      </w:pPr>
    </w:p>
    <w:p>
      <w:pPr>
        <w:pStyle w:val="Heading 2"/>
        <w:ind w:left="0" w:firstLine="0"/>
        <w:rPr>
          <w:rStyle w:val="None"/>
          <w:rFonts w:ascii="Jost Bold" w:cs="Jost Bold" w:hAnsi="Jost Bold" w:eastAsia="Jost Bold"/>
        </w:rPr>
      </w:pPr>
      <w:bookmarkStart w:name="_ax6bysdxasaj" w:id="11"/>
      <w:bookmarkEnd w:id="11"/>
      <w:r>
        <w:rPr>
          <w:rStyle w:val="None"/>
          <w:rFonts w:ascii="Jost Bold" w:hAnsi="Jost Bold"/>
          <w:rtl w:val="0"/>
          <w:lang w:val="de-DE"/>
        </w:rPr>
        <w:t>W</w:t>
      </w:r>
      <w:r>
        <w:rPr>
          <w:rStyle w:val="None"/>
          <w:rFonts w:ascii="Jost Bold" w:hAnsi="Jost Bold"/>
          <w:rtl w:val="0"/>
          <w:lang w:val="en-US"/>
        </w:rPr>
        <w:t>hat we are still trying to figure out</w:t>
      </w:r>
    </w:p>
    <w:p>
      <w:pPr>
        <w:pStyle w:val="Body"/>
        <w:spacing w:line="276" w:lineRule="auto"/>
        <w:ind w:left="0" w:firstLine="0"/>
        <w:rPr>
          <w:rStyle w:val="None"/>
          <w:i w:val="1"/>
          <w:iCs w:val="1"/>
        </w:rPr>
      </w:pPr>
      <w:r>
        <w:rPr>
          <w:rStyle w:val="None"/>
          <w:i w:val="1"/>
          <w:iCs w:val="1"/>
          <w:rtl w:val="0"/>
          <w:lang w:val="en-US"/>
        </w:rPr>
        <w:t>A number of questions remain in shaping this programme, including:</w:t>
      </w:r>
    </w:p>
    <w:p>
      <w:pPr>
        <w:pStyle w:val="Body"/>
        <w:numPr>
          <w:ilvl w:val="0"/>
          <w:numId w:val="16"/>
        </w:numPr>
        <w:bidi w:val="0"/>
        <w:spacing w:line="276" w:lineRule="auto"/>
        <w:ind w:right="0"/>
        <w:jc w:val="left"/>
        <w:rPr>
          <w:i w:val="1"/>
          <w:iCs w:val="1"/>
          <w:rtl w:val="0"/>
          <w:lang w:val="en-US"/>
        </w:rPr>
      </w:pPr>
      <w:r>
        <w:rPr>
          <w:rStyle w:val="None"/>
          <w:i w:val="1"/>
          <w:iCs w:val="1"/>
          <w:rtl w:val="0"/>
          <w:lang w:val="en-US"/>
        </w:rPr>
        <w:t>Which workloads do we focus on, and are there other kernels meeting the criteria above we should consider?</w:t>
      </w:r>
    </w:p>
    <w:p>
      <w:pPr>
        <w:pStyle w:val="Body"/>
        <w:numPr>
          <w:ilvl w:val="0"/>
          <w:numId w:val="16"/>
        </w:numPr>
        <w:bidi w:val="0"/>
        <w:spacing w:line="276" w:lineRule="auto"/>
        <w:ind w:right="0"/>
        <w:jc w:val="left"/>
        <w:rPr>
          <w:i w:val="1"/>
          <w:iCs w:val="1"/>
          <w:rtl w:val="0"/>
          <w:lang w:val="en-US"/>
        </w:rPr>
      </w:pPr>
      <w:r>
        <w:rPr>
          <w:rStyle w:val="None"/>
          <w:i w:val="1"/>
          <w:iCs w:val="1"/>
          <w:rtl w:val="0"/>
          <w:lang w:val="en-US"/>
        </w:rPr>
        <w:t>Are we projecting the right performance targets, and are we sure our targets (e.g. TOPS-W target above) represent a big enough step-change to where industry will be in 3-5 years time?</w:t>
      </w:r>
    </w:p>
    <w:p>
      <w:pPr>
        <w:pStyle w:val="Body"/>
        <w:numPr>
          <w:ilvl w:val="0"/>
          <w:numId w:val="16"/>
        </w:numPr>
        <w:bidi w:val="0"/>
        <w:spacing w:line="276" w:lineRule="auto"/>
        <w:ind w:right="0"/>
        <w:jc w:val="left"/>
        <w:rPr>
          <w:i w:val="1"/>
          <w:iCs w:val="1"/>
          <w:rtl w:val="0"/>
          <w:lang w:val="en-US"/>
        </w:rPr>
      </w:pPr>
      <w:r>
        <w:rPr>
          <w:rStyle w:val="None"/>
          <w:i w:val="1"/>
          <w:iCs w:val="1"/>
          <w:rtl w:val="0"/>
          <w:lang w:val="en-US"/>
        </w:rPr>
        <w:t>What do we benchmark against, besides MLPerf?</w:t>
      </w:r>
    </w:p>
    <w:p>
      <w:pPr>
        <w:pStyle w:val="Body"/>
        <w:numPr>
          <w:ilvl w:val="0"/>
          <w:numId w:val="16"/>
        </w:numPr>
        <w:bidi w:val="0"/>
        <w:spacing w:line="276" w:lineRule="auto"/>
        <w:ind w:right="0"/>
        <w:jc w:val="left"/>
        <w:rPr>
          <w:i w:val="1"/>
          <w:iCs w:val="1"/>
          <w:rtl w:val="0"/>
          <w:lang w:val="en-US"/>
        </w:rPr>
      </w:pPr>
      <w:r>
        <w:rPr>
          <w:rStyle w:val="None"/>
          <w:i w:val="1"/>
          <w:iCs w:val="1"/>
          <w:rtl w:val="0"/>
          <w:lang w:val="en-US"/>
        </w:rPr>
        <w:t>Do we have accurate estimates of costs at industrial scale?</w:t>
      </w:r>
    </w:p>
    <w:p>
      <w:pPr>
        <w:pStyle w:val="Body"/>
        <w:numPr>
          <w:ilvl w:val="0"/>
          <w:numId w:val="16"/>
        </w:numPr>
        <w:bidi w:val="0"/>
        <w:spacing w:line="276" w:lineRule="auto"/>
        <w:ind w:right="0"/>
        <w:jc w:val="left"/>
        <w:rPr>
          <w:i w:val="1"/>
          <w:iCs w:val="1"/>
          <w:rtl w:val="0"/>
          <w:lang w:val="en-US"/>
        </w:rPr>
      </w:pPr>
      <w:r>
        <w:rPr>
          <w:rStyle w:val="None"/>
          <w:i w:val="1"/>
          <w:iCs w:val="1"/>
          <w:rtl w:val="0"/>
          <w:lang w:val="en-US"/>
        </w:rPr>
        <w:t>Are we missing important factors that govern technology translation (other than improved technical specifications)?</w:t>
      </w:r>
    </w:p>
    <w:p>
      <w:pPr>
        <w:pStyle w:val="Body"/>
        <w:numPr>
          <w:ilvl w:val="0"/>
          <w:numId w:val="16"/>
        </w:numPr>
        <w:bidi w:val="0"/>
        <w:spacing w:line="276" w:lineRule="auto"/>
        <w:ind w:right="0"/>
        <w:jc w:val="left"/>
        <w:rPr>
          <w:i w:val="1"/>
          <w:iCs w:val="1"/>
          <w:rtl w:val="0"/>
          <w:lang w:val="en-US"/>
        </w:rPr>
      </w:pPr>
      <w:r>
        <w:rPr>
          <w:rStyle w:val="None"/>
          <w:i w:val="1"/>
          <w:iCs w:val="1"/>
          <w:rtl w:val="0"/>
          <w:lang w:val="en-US"/>
        </w:rPr>
        <w:t>What are the right funding levels for the two categories of awards described above?</w:t>
      </w:r>
    </w:p>
    <w:p>
      <w:pPr>
        <w:pStyle w:val="Body"/>
        <w:ind w:left="0" w:firstLine="0"/>
      </w:pPr>
    </w:p>
    <w:p>
      <w:pPr>
        <w:pStyle w:val="Heading"/>
        <w:spacing w:line="276" w:lineRule="auto"/>
        <w:ind w:left="0" w:firstLine="0"/>
        <w:rPr>
          <w:rStyle w:val="None"/>
          <w:rFonts w:ascii="Jost Bold" w:cs="Jost Bold" w:hAnsi="Jost Bold" w:eastAsia="Jost Bold"/>
          <w:outline w:val="0"/>
          <w:color w:val="000000"/>
          <w:sz w:val="24"/>
          <w:szCs w:val="24"/>
          <w:u w:color="000000"/>
          <w14:textFill>
            <w14:solidFill>
              <w14:srgbClr w14:val="000000"/>
            </w14:solidFill>
          </w14:textFill>
        </w:rPr>
      </w:pPr>
      <w:bookmarkStart w:name="_pz076mg6wzfa" w:id="12"/>
      <w:bookmarkEnd w:id="12"/>
      <w:r>
        <w:rPr>
          <w:rStyle w:val="None"/>
          <w:rFonts w:ascii="Jost Bold" w:hAnsi="Jost Bold"/>
          <w:outline w:val="0"/>
          <w:color w:val="000000"/>
          <w:sz w:val="24"/>
          <w:szCs w:val="24"/>
          <w:u w:color="000000"/>
          <w:rtl w:val="0"/>
          <w14:textFill>
            <w14:solidFill>
              <w14:srgbClr w14:val="000000"/>
            </w14:solidFill>
          </w14:textFill>
        </w:rPr>
        <w:t>S</w:t>
      </w:r>
      <w:r>
        <w:rPr>
          <w:rStyle w:val="None"/>
          <w:rFonts w:ascii="Jost Bold" w:hAnsi="Jost Bold"/>
          <w:outline w:val="0"/>
          <w:color w:val="000000"/>
          <w:sz w:val="24"/>
          <w:szCs w:val="24"/>
          <w:u w:color="000000"/>
          <w:rtl w:val="0"/>
          <w:lang w:val="en-US"/>
          <w14:textFill>
            <w14:solidFill>
              <w14:srgbClr w14:val="000000"/>
            </w14:solidFill>
          </w14:textFill>
        </w:rPr>
        <w:t>OURCES</w:t>
      </w:r>
    </w:p>
    <w:p>
      <w:pPr>
        <w:pStyle w:val="Body"/>
        <w:spacing w:line="276" w:lineRule="auto"/>
        <w:ind w:left="0" w:firstLine="0"/>
        <w:rPr>
          <w:rStyle w:val="None"/>
          <w:i w:val="1"/>
          <w:iCs w:val="1"/>
        </w:rPr>
      </w:pPr>
      <w:r>
        <w:rPr>
          <w:rStyle w:val="None"/>
          <w:i w:val="1"/>
          <w:iCs w:val="1"/>
          <w:rtl w:val="0"/>
          <w:lang w:val="en-US"/>
        </w:rPr>
        <w:t>References cited in this document.</w:t>
      </w:r>
    </w:p>
    <w:p>
      <w:pPr>
        <w:pStyle w:val="Body"/>
        <w:spacing w:line="276" w:lineRule="auto"/>
        <w:ind w:left="0" w:firstLine="0"/>
        <w:rPr>
          <w:rStyle w:val="None"/>
          <w:i w:val="1"/>
          <w:iCs w:val="1"/>
        </w:rPr>
      </w:pPr>
    </w:p>
    <w:p>
      <w:pPr>
        <w:pStyle w:val="Body"/>
        <w:spacing w:line="276" w:lineRule="auto"/>
        <w:ind w:left="0" w:firstLine="0"/>
      </w:pPr>
      <w:r>
        <w:rPr>
          <w:rStyle w:val="None"/>
          <w:rtl w:val="0"/>
          <w:lang w:val="pt-PT"/>
        </w:rPr>
        <w:t xml:space="preserve">[1] </w:t>
      </w:r>
      <w:r>
        <w:rPr>
          <w:rStyle w:val="None"/>
          <w:rFonts w:ascii="Jost Bold" w:hAnsi="Jost Bold"/>
          <w:rtl w:val="0"/>
          <w:lang w:val="en-US"/>
        </w:rPr>
        <w:t>N. C. Thompson</w:t>
      </w:r>
      <w:r>
        <w:rPr>
          <w:rStyle w:val="None"/>
          <w:rtl w:val="0"/>
          <w:lang w:val="en-US"/>
        </w:rPr>
        <w:t xml:space="preserve">, K. Greenewald, K. Lee, and G. F. Manso, </w:t>
      </w:r>
      <w:r>
        <w:rPr>
          <w:rStyle w:val="None"/>
          <w:rtl w:val="1"/>
          <w:lang w:val="ar-SA" w:bidi="ar-SA"/>
        </w:rPr>
        <w:t>“</w:t>
      </w:r>
      <w:r>
        <w:rPr>
          <w:rStyle w:val="None"/>
          <w:rtl w:val="0"/>
          <w:lang w:val="en-US"/>
        </w:rPr>
        <w:t>The Computational Limits of Deep Learning</w:t>
      </w:r>
      <w:r>
        <w:rPr>
          <w:rStyle w:val="None"/>
          <w:rtl w:val="0"/>
        </w:rPr>
        <w:t>”</w:t>
      </w:r>
      <w:r>
        <w:rPr>
          <w:rStyle w:val="None"/>
          <w:rtl w:val="0"/>
        </w:rPr>
        <w:t xml:space="preserve">, </w:t>
      </w:r>
      <w:r>
        <w:rPr>
          <w:rStyle w:val="None"/>
          <w:i w:val="1"/>
          <w:iCs w:val="1"/>
          <w:rtl w:val="0"/>
          <w:lang w:val="en-US"/>
        </w:rPr>
        <w:t>arXiv.org, [cs, stat]</w:t>
      </w:r>
      <w:r>
        <w:rPr>
          <w:rStyle w:val="None"/>
          <w:rtl w:val="0"/>
          <w:lang w:val="pt-PT"/>
        </w:rPr>
        <w:t xml:space="preserve">, Jul. 2020, DOI: </w:t>
      </w:r>
      <w:r>
        <w:rPr>
          <w:rStyle w:val="Hyperlink.4"/>
        </w:rPr>
        <w:fldChar w:fldCharType="begin" w:fldLock="0"/>
      </w:r>
      <w:r>
        <w:rPr>
          <w:rStyle w:val="Hyperlink.4"/>
        </w:rPr>
        <w:instrText xml:space="preserve"> HYPERLINK "https://arxiv.org/abs/2007.05558"</w:instrText>
      </w:r>
      <w:r>
        <w:rPr>
          <w:rStyle w:val="Hyperlink.4"/>
        </w:rPr>
        <w:fldChar w:fldCharType="separate" w:fldLock="0"/>
      </w:r>
      <w:r>
        <w:rPr>
          <w:rStyle w:val="Hyperlink.4"/>
          <w:rtl w:val="0"/>
          <w:lang w:val="de-DE"/>
        </w:rPr>
        <w:t>https://arxiv.org/abs/2007.05558</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[2] </w:t>
      </w:r>
      <w:r>
        <w:rPr>
          <w:rStyle w:val="None"/>
          <w:rFonts w:ascii="Jost Bold" w:hAnsi="Jost Bold"/>
          <w:rtl w:val="0"/>
        </w:rPr>
        <w:t xml:space="preserve">D. S. Modha </w:t>
      </w:r>
      <w:r>
        <w:rPr>
          <w:rStyle w:val="None"/>
          <w:rFonts w:ascii="Jost Bold" w:hAnsi="Jost Bold"/>
          <w:i w:val="1"/>
          <w:iCs w:val="1"/>
          <w:rtl w:val="0"/>
        </w:rPr>
        <w:t>et al.</w:t>
      </w:r>
      <w:r>
        <w:rPr>
          <w:rStyle w:val="None"/>
          <w:rtl w:val="0"/>
        </w:rPr>
        <w:t xml:space="preserve">, </w:t>
      </w:r>
      <w:r>
        <w:rPr>
          <w:rStyle w:val="None"/>
          <w:rtl w:val="1"/>
          <w:lang w:val="ar-SA" w:bidi="ar-SA"/>
        </w:rPr>
        <w:t>“</w:t>
      </w:r>
      <w:r>
        <w:rPr>
          <w:rStyle w:val="None"/>
          <w:rtl w:val="0"/>
          <w:lang w:val="en-US"/>
        </w:rPr>
        <w:t>Neural inference at the frontier of energy, space, and time</w:t>
      </w:r>
      <w:r>
        <w:rPr>
          <w:rStyle w:val="None"/>
          <w:rtl w:val="0"/>
        </w:rPr>
        <w:t>”</w:t>
      </w:r>
      <w:r>
        <w:rPr>
          <w:rStyle w:val="None"/>
          <w:rtl w:val="0"/>
        </w:rPr>
        <w:t xml:space="preserve">, </w:t>
      </w:r>
      <w:r>
        <w:rPr>
          <w:rStyle w:val="None"/>
          <w:i w:val="1"/>
          <w:iCs w:val="1"/>
          <w:rtl w:val="0"/>
          <w:lang w:val="en-US"/>
        </w:rPr>
        <w:t>Science</w:t>
      </w:r>
      <w:r>
        <w:rPr>
          <w:rStyle w:val="None"/>
          <w:rtl w:val="0"/>
          <w:lang w:val="pt-PT"/>
        </w:rPr>
        <w:t>, vol. 382, no. 6668, pp. 329</w:t>
      </w:r>
      <w:r>
        <w:rPr>
          <w:rStyle w:val="None"/>
          <w:rtl w:val="0"/>
        </w:rPr>
        <w:t>–</w:t>
      </w:r>
      <w:r>
        <w:rPr>
          <w:rStyle w:val="None"/>
          <w:rtl w:val="0"/>
        </w:rPr>
        <w:t xml:space="preserve">335, Oct. 2023, DOI: </w:t>
      </w:r>
      <w:r>
        <w:rPr>
          <w:rStyle w:val="Hyperlink.4"/>
        </w:rPr>
        <w:fldChar w:fldCharType="begin" w:fldLock="0"/>
      </w:r>
      <w:r>
        <w:rPr>
          <w:rStyle w:val="Hyperlink.4"/>
        </w:rPr>
        <w:instrText xml:space="preserve"> HYPERLINK "https://doi.org/10.1126/science.adh1174"</w:instrText>
      </w:r>
      <w:r>
        <w:rPr>
          <w:rStyle w:val="Hyperlink.4"/>
        </w:rPr>
        <w:fldChar w:fldCharType="separate" w:fldLock="0"/>
      </w:r>
      <w:r>
        <w:rPr>
          <w:rStyle w:val="Hyperlink.4"/>
          <w:rtl w:val="0"/>
          <w:lang w:val="en-US"/>
        </w:rPr>
        <w:t>https://doi.org/10.1126/science.adh1174</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[3] </w:t>
      </w:r>
      <w:r>
        <w:rPr>
          <w:rStyle w:val="None"/>
          <w:rFonts w:ascii="Jost Bold" w:hAnsi="Jost Bold"/>
          <w:rtl w:val="0"/>
          <w:lang w:val="en-US"/>
        </w:rPr>
        <w:t xml:space="preserve">S. Cosemans </w:t>
      </w:r>
      <w:r>
        <w:rPr>
          <w:rStyle w:val="None"/>
          <w:rFonts w:ascii="Jost Bold" w:hAnsi="Jost Bold"/>
          <w:i w:val="1"/>
          <w:iCs w:val="1"/>
          <w:rtl w:val="0"/>
          <w:lang w:val="nl-NL"/>
        </w:rPr>
        <w:t>et al</w:t>
      </w:r>
      <w:r>
        <w:rPr>
          <w:rStyle w:val="None"/>
          <w:rtl w:val="0"/>
          <w:lang w:val="en-US"/>
        </w:rPr>
        <w:t xml:space="preserve">., "Towards 10000TOPS/W DNN Inference with Analog in-Memory Computing </w:t>
      </w:r>
      <w:r>
        <w:rPr>
          <w:rStyle w:val="None"/>
          <w:rtl w:val="0"/>
        </w:rPr>
        <w:t xml:space="preserve">– </w:t>
      </w:r>
      <w:r>
        <w:rPr>
          <w:rStyle w:val="None"/>
          <w:rtl w:val="0"/>
          <w:lang w:val="en-US"/>
        </w:rPr>
        <w:t xml:space="preserve">A Circuit Blueprint, Device Options and Requirements," 2019 IEEE International Electron Devices Meeting (IEDM), San Francisco, CA, USA, 2019, pp. 22.2.1-22.2.4, </w:t>
      </w:r>
    </w:p>
    <w:p>
      <w:pPr>
        <w:pStyle w:val="Body"/>
        <w:spacing w:line="276" w:lineRule="auto"/>
        <w:ind w:left="0" w:firstLine="0"/>
      </w:pPr>
      <w:r>
        <w:rPr>
          <w:rStyle w:val="None"/>
          <w:rtl w:val="0"/>
          <w:lang w:val="fr-FR"/>
        </w:rPr>
        <w:t xml:space="preserve">DOI: </w:t>
      </w:r>
      <w:r>
        <w:rPr>
          <w:rStyle w:val="Hyperlink.4"/>
        </w:rPr>
        <w:fldChar w:fldCharType="begin" w:fldLock="0"/>
      </w:r>
      <w:r>
        <w:rPr>
          <w:rStyle w:val="Hyperlink.4"/>
        </w:rPr>
        <w:instrText xml:space="preserve"> HYPERLINK "https://ieeexplore.ieee.org/document/8993599"</w:instrText>
      </w:r>
      <w:r>
        <w:rPr>
          <w:rStyle w:val="Hyperlink.4"/>
        </w:rPr>
        <w:fldChar w:fldCharType="separate" w:fldLock="0"/>
      </w:r>
      <w:r>
        <w:rPr>
          <w:rStyle w:val="Hyperlink.4"/>
          <w:rtl w:val="0"/>
        </w:rPr>
        <w:t>10.1109/IEDM19573.2019.8993599</w:t>
      </w:r>
      <w:r>
        <w:rPr/>
        <w:fldChar w:fldCharType="end" w:fldLock="0"/>
      </w:r>
      <w:r>
        <w:rPr>
          <w:rStyle w:val="None"/>
          <w:rtl w:val="0"/>
        </w:rPr>
        <w:t>.</w:t>
        <w:tab/>
      </w:r>
    </w:p>
    <w:p>
      <w:pPr>
        <w:pStyle w:val="Body"/>
        <w:spacing w:line="276" w:lineRule="auto"/>
        <w:ind w:left="0" w:firstLine="0"/>
      </w:pPr>
    </w:p>
    <w:p>
      <w:pPr>
        <w:pStyle w:val="Body"/>
        <w:spacing w:line="276" w:lineRule="auto"/>
        <w:ind w:left="0" w:firstLine="0"/>
      </w:pPr>
      <w:r>
        <w:rPr>
          <w:rStyle w:val="None"/>
          <w:rtl w:val="0"/>
          <w:lang w:val="pt-PT"/>
        </w:rPr>
        <w:t xml:space="preserve">[4] </w:t>
      </w:r>
      <w:r>
        <w:rPr>
          <w:rStyle w:val="None"/>
          <w:rFonts w:ascii="Jost Bold" w:hAnsi="Jost Bold"/>
          <w:rtl w:val="0"/>
          <w:lang w:val="da-DK"/>
        </w:rPr>
        <w:t>M. G. Anderson</w:t>
      </w:r>
      <w:r>
        <w:rPr>
          <w:rStyle w:val="None"/>
          <w:rtl w:val="0"/>
          <w:lang w:val="en-US"/>
        </w:rPr>
        <w:t xml:space="preserve">, S.-Y. Ma, T. Wang, L. G. Wright, and P. L. McMahon, </w:t>
      </w:r>
      <w:r>
        <w:rPr>
          <w:rStyle w:val="None"/>
          <w:rtl w:val="1"/>
          <w:lang w:val="ar-SA" w:bidi="ar-SA"/>
        </w:rPr>
        <w:t>“</w:t>
      </w:r>
      <w:r>
        <w:rPr>
          <w:rStyle w:val="None"/>
          <w:rtl w:val="0"/>
          <w:lang w:val="en-US"/>
        </w:rPr>
        <w:t>Optical Transformers</w:t>
      </w:r>
      <w:r>
        <w:rPr>
          <w:rStyle w:val="None"/>
          <w:rtl w:val="0"/>
        </w:rPr>
        <w:t>”</w:t>
      </w:r>
      <w:r>
        <w:rPr>
          <w:rStyle w:val="None"/>
          <w:rtl w:val="0"/>
        </w:rPr>
        <w:t xml:space="preserve">, </w:t>
      </w:r>
      <w:r>
        <w:rPr>
          <w:rStyle w:val="None"/>
          <w:i w:val="1"/>
          <w:iCs w:val="1"/>
          <w:rtl w:val="0"/>
        </w:rPr>
        <w:t>arXiv.org,</w:t>
      </w:r>
      <w:r>
        <w:rPr>
          <w:rStyle w:val="None"/>
          <w:rtl w:val="0"/>
          <w:lang w:val="en-US"/>
        </w:rPr>
        <w:t xml:space="preserve"> Feb. 20, 2023, DOI: </w:t>
      </w:r>
      <w:r>
        <w:rPr>
          <w:rStyle w:val="Hyperlink.4"/>
        </w:rPr>
        <w:fldChar w:fldCharType="begin" w:fldLock="0"/>
      </w:r>
      <w:r>
        <w:rPr>
          <w:rStyle w:val="Hyperlink.4"/>
        </w:rPr>
        <w:instrText xml:space="preserve"> HYPERLINK "https://arxiv.org/abs/2302.10360"</w:instrText>
      </w:r>
      <w:r>
        <w:rPr>
          <w:rStyle w:val="Hyperlink.4"/>
        </w:rPr>
        <w:fldChar w:fldCharType="separate" w:fldLock="0"/>
      </w:r>
      <w:r>
        <w:rPr>
          <w:rStyle w:val="Hyperlink.4"/>
          <w:rtl w:val="0"/>
          <w:lang w:val="de-DE"/>
        </w:rPr>
        <w:t>https://arxiv.org/abs/2302.10360</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[5] </w:t>
      </w:r>
      <w:r>
        <w:rPr>
          <w:rStyle w:val="None"/>
          <w:rFonts w:ascii="Jost Bold" w:hAnsi="Jost Bold"/>
          <w:rtl w:val="0"/>
          <w:lang w:val="da-DK"/>
        </w:rPr>
        <w:t xml:space="preserve">B. Keller </w:t>
      </w:r>
      <w:r>
        <w:rPr>
          <w:rStyle w:val="None"/>
          <w:rFonts w:ascii="Jost Bold" w:hAnsi="Jost Bold"/>
          <w:i w:val="1"/>
          <w:iCs w:val="1"/>
          <w:rtl w:val="0"/>
          <w:lang w:val="nl-NL"/>
        </w:rPr>
        <w:t>et al</w:t>
      </w:r>
      <w:r>
        <w:rPr>
          <w:rStyle w:val="None"/>
          <w:rtl w:val="0"/>
          <w:lang w:val="pt-PT"/>
        </w:rPr>
        <w:t>., "A 17</w:t>
      </w:r>
      <w:r>
        <w:rPr>
          <w:rStyle w:val="None"/>
          <w:rtl w:val="0"/>
        </w:rPr>
        <w:t>–</w:t>
      </w:r>
      <w:r>
        <w:rPr>
          <w:rStyle w:val="None"/>
          <w:rtl w:val="0"/>
          <w:lang w:val="en-US"/>
        </w:rPr>
        <w:t xml:space="preserve">95.6 TOPS/W Deep Learning Inference Accelerator with Per-Vector Scaled 4-bit Quantization for Transformers in 5nm", 2022 IEEE Symposium on VLSI Technology and Circuits (VLSI Technology and Circuits), Honolulu, HI, USA, 2022, pp. 16-17, </w:t>
      </w:r>
    </w:p>
    <w:p>
      <w:pPr>
        <w:pStyle w:val="Body"/>
        <w:spacing w:line="276" w:lineRule="auto"/>
        <w:ind w:left="0" w:firstLine="0"/>
      </w:pPr>
      <w:r>
        <w:rPr>
          <w:rStyle w:val="None"/>
          <w:rtl w:val="0"/>
          <w:lang w:val="fr-FR"/>
        </w:rPr>
        <w:t xml:space="preserve">DOI: </w:t>
      </w:r>
      <w:r>
        <w:rPr>
          <w:rStyle w:val="Hyperlink.4"/>
        </w:rPr>
        <w:fldChar w:fldCharType="begin" w:fldLock="0"/>
      </w:r>
      <w:r>
        <w:rPr>
          <w:rStyle w:val="Hyperlink.4"/>
        </w:rPr>
        <w:instrText xml:space="preserve"> HYPERLINK "https://ieeexplore.ieee.org/document/9830277"</w:instrText>
      </w:r>
      <w:r>
        <w:rPr>
          <w:rStyle w:val="Hyperlink.4"/>
        </w:rPr>
        <w:fldChar w:fldCharType="separate" w:fldLock="0"/>
      </w:r>
      <w:r>
        <w:rPr>
          <w:rStyle w:val="Hyperlink.4"/>
          <w:rtl w:val="0"/>
        </w:rPr>
        <w:t>10.1109/VLSITechnologyandCir46769.2022.983027</w:t>
      </w:r>
      <w:r>
        <w:rPr/>
        <w:fldChar w:fldCharType="end" w:fldLock="0"/>
      </w:r>
      <w:r>
        <w:rPr>
          <w:rStyle w:val="Hyperlink.5"/>
        </w:rPr>
        <w:fldChar w:fldCharType="begin" w:fldLock="0"/>
      </w:r>
      <w:r>
        <w:rPr>
          <w:rStyle w:val="Hyperlink.5"/>
        </w:rPr>
        <w:instrText xml:space="preserve"> HYPERLINK "https://ieeexplore.ieee.org/document/9830277"</w:instrText>
      </w:r>
      <w:r>
        <w:rPr>
          <w:rStyle w:val="Hyperlink.5"/>
        </w:rPr>
        <w:fldChar w:fldCharType="separate" w:fldLock="0"/>
      </w:r>
      <w:r>
        <w:rPr>
          <w:rStyle w:val="Hyperlink.5"/>
          <w:rtl w:val="0"/>
        </w:rPr>
        <w:t>7</w:t>
      </w:r>
      <w:r>
        <w:rPr/>
        <w:fldChar w:fldCharType="end" w:fldLock="0"/>
      </w:r>
      <w:r>
        <w:rPr>
          <w:rStyle w:val="None"/>
          <w:shd w:val="clear" w:color="auto" w:fill="ffffff"/>
          <w:rtl w:val="0"/>
        </w:rPr>
        <w:t xml:space="preserve">. </w:t>
      </w:r>
    </w:p>
    <w:p>
      <w:pPr>
        <w:pStyle w:val="Body"/>
        <w:spacing w:line="276" w:lineRule="auto"/>
        <w:ind w:left="0" w:firstLine="0"/>
      </w:pPr>
    </w:p>
    <w:p>
      <w:pPr>
        <w:pStyle w:val="Body"/>
        <w:spacing w:line="276" w:lineRule="auto"/>
        <w:ind w:left="0" w:firstLine="0"/>
      </w:pPr>
      <w:r>
        <w:rPr>
          <w:rStyle w:val="None"/>
          <w:rtl w:val="0"/>
          <w:lang w:val="pt-PT"/>
        </w:rPr>
        <w:t xml:space="preserve">[6] </w:t>
      </w:r>
      <w:r>
        <w:rPr>
          <w:rStyle w:val="None"/>
          <w:rFonts w:ascii="Jost Bold" w:hAnsi="Jost Bold"/>
          <w:rtl w:val="0"/>
        </w:rPr>
        <w:t>Min Soo Kim</w:t>
      </w:r>
      <w:r>
        <w:rPr>
          <w:rStyle w:val="None"/>
          <w:rtl w:val="0"/>
          <w:lang w:val="da-DK"/>
        </w:rPr>
        <w:t>, S. Mandr</w:t>
      </w:r>
      <w:r>
        <w:rPr>
          <w:rStyle w:val="None"/>
          <w:rtl w:val="0"/>
        </w:rPr>
        <w:t>à</w:t>
      </w:r>
      <w:r>
        <w:rPr>
          <w:rStyle w:val="None"/>
          <w:rtl w:val="0"/>
          <w:lang w:val="en-US"/>
        </w:rPr>
        <w:t xml:space="preserve">, D. Venturelli, and K. Jamieson, </w:t>
      </w:r>
      <w:r>
        <w:rPr>
          <w:rStyle w:val="None"/>
          <w:rtl w:val="1"/>
          <w:lang w:val="ar-SA" w:bidi="ar-SA"/>
        </w:rPr>
        <w:t>“</w:t>
      </w:r>
      <w:r>
        <w:rPr>
          <w:rStyle w:val="None"/>
          <w:rtl w:val="0"/>
          <w:lang w:val="en-US"/>
        </w:rPr>
        <w:t>Physics-inspired heuristics for soft MIMO detection in 5G new radio and beyond</w:t>
      </w:r>
      <w:r>
        <w:rPr>
          <w:rStyle w:val="None"/>
          <w:rtl w:val="0"/>
        </w:rPr>
        <w:t>”</w:t>
      </w:r>
      <w:r>
        <w:rPr>
          <w:rStyle w:val="None"/>
          <w:rtl w:val="0"/>
        </w:rPr>
        <w:t>,</w:t>
      </w:r>
      <w:r>
        <w:rPr>
          <w:rStyle w:val="None"/>
          <w:i w:val="1"/>
          <w:iCs w:val="1"/>
          <w:rtl w:val="0"/>
          <w:lang w:val="en-US"/>
        </w:rPr>
        <w:t xml:space="preserve"> (Cornell University)</w:t>
      </w:r>
      <w:r>
        <w:rPr>
          <w:rStyle w:val="None"/>
          <w:rtl w:val="0"/>
        </w:rPr>
        <w:t xml:space="preserve">, Sep. 2021, </w:t>
      </w:r>
    </w:p>
    <w:p>
      <w:pPr>
        <w:pStyle w:val="Body"/>
        <w:spacing w:line="276" w:lineRule="auto"/>
        <w:ind w:left="0" w:firstLine="0"/>
      </w:pPr>
      <w:r>
        <w:rPr>
          <w:rStyle w:val="None"/>
          <w:rtl w:val="0"/>
          <w:lang w:val="fr-FR"/>
        </w:rPr>
        <w:t xml:space="preserve">DOI: </w:t>
      </w:r>
      <w:r>
        <w:rPr>
          <w:rStyle w:val="Hyperlink.4"/>
        </w:rPr>
        <w:fldChar w:fldCharType="begin" w:fldLock="0"/>
      </w:r>
      <w:r>
        <w:rPr>
          <w:rStyle w:val="Hyperlink.4"/>
        </w:rPr>
        <w:instrText xml:space="preserve"> HYPERLINK "https://doi.org/10.1145/3447993.3448619"</w:instrText>
      </w:r>
      <w:r>
        <w:rPr>
          <w:rStyle w:val="Hyperlink.4"/>
        </w:rPr>
        <w:fldChar w:fldCharType="separate" w:fldLock="0"/>
      </w:r>
      <w:r>
        <w:rPr>
          <w:rStyle w:val="Hyperlink.4"/>
          <w:rtl w:val="0"/>
          <w:lang w:val="en-US"/>
        </w:rPr>
        <w:t>https://doi.org/10.1145/3447993.3448619</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[7] </w:t>
      </w:r>
      <w:r>
        <w:rPr>
          <w:rStyle w:val="None"/>
          <w:rFonts w:ascii="Jost Bold" w:hAnsi="Jost Bold"/>
          <w:rtl w:val="0"/>
          <w:lang w:val="pt-PT"/>
        </w:rPr>
        <w:t xml:space="preserve">M. Aifer </w:t>
      </w:r>
      <w:r>
        <w:rPr>
          <w:rStyle w:val="None"/>
          <w:rFonts w:ascii="Jost Bold" w:hAnsi="Jost Bold"/>
          <w:i w:val="1"/>
          <w:iCs w:val="1"/>
          <w:rtl w:val="0"/>
        </w:rPr>
        <w:t>et al.</w:t>
      </w:r>
      <w:r>
        <w:rPr>
          <w:rStyle w:val="None"/>
          <w:rtl w:val="0"/>
        </w:rPr>
        <w:t xml:space="preserve">, </w:t>
      </w:r>
      <w:r>
        <w:rPr>
          <w:rStyle w:val="None"/>
          <w:rtl w:val="1"/>
          <w:lang w:val="ar-SA" w:bidi="ar-SA"/>
        </w:rPr>
        <w:t>“</w:t>
      </w:r>
      <w:r>
        <w:rPr>
          <w:rStyle w:val="None"/>
          <w:rtl w:val="0"/>
          <w:lang w:val="en-US"/>
        </w:rPr>
        <w:t>Thermodynamic Linear Algebra</w:t>
      </w:r>
      <w:r>
        <w:rPr>
          <w:rStyle w:val="None"/>
          <w:rtl w:val="0"/>
        </w:rPr>
        <w:t>”</w:t>
      </w:r>
      <w:r>
        <w:rPr>
          <w:rStyle w:val="None"/>
          <w:rtl w:val="0"/>
        </w:rPr>
        <w:t xml:space="preserve">, </w:t>
      </w:r>
      <w:r>
        <w:rPr>
          <w:rStyle w:val="None"/>
          <w:i w:val="1"/>
          <w:iCs w:val="1"/>
          <w:rtl w:val="0"/>
        </w:rPr>
        <w:t>arXiv.org</w:t>
      </w:r>
      <w:r>
        <w:rPr>
          <w:rStyle w:val="None"/>
          <w:rtl w:val="0"/>
        </w:rPr>
        <w:t xml:space="preserve">, Aug. 10, 2023. </w:t>
      </w:r>
    </w:p>
    <w:p>
      <w:pPr>
        <w:pStyle w:val="Body"/>
        <w:spacing w:line="276" w:lineRule="auto"/>
        <w:ind w:left="0" w:firstLine="0"/>
      </w:pPr>
      <w:r>
        <w:rPr>
          <w:rStyle w:val="None"/>
          <w:rtl w:val="0"/>
          <w:lang w:val="fr-FR"/>
        </w:rPr>
        <w:t xml:space="preserve">DOI: </w:t>
      </w:r>
      <w:r>
        <w:rPr>
          <w:rStyle w:val="Hyperlink.4"/>
        </w:rPr>
        <w:fldChar w:fldCharType="begin" w:fldLock="0"/>
      </w:r>
      <w:r>
        <w:rPr>
          <w:rStyle w:val="Hyperlink.4"/>
        </w:rPr>
        <w:instrText xml:space="preserve"> HYPERLINK "https://arxiv.org/abs/2308.05660"</w:instrText>
      </w:r>
      <w:r>
        <w:rPr>
          <w:rStyle w:val="Hyperlink.4"/>
        </w:rPr>
        <w:fldChar w:fldCharType="separate" w:fldLock="0"/>
      </w:r>
      <w:r>
        <w:rPr>
          <w:rStyle w:val="Hyperlink.4"/>
          <w:rtl w:val="0"/>
          <w:lang w:val="de-DE"/>
        </w:rPr>
        <w:t>https://arxiv.org/abs/2308.05660</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[8] </w:t>
      </w:r>
      <w:r>
        <w:rPr>
          <w:rStyle w:val="None"/>
          <w:rFonts w:ascii="Jost Bold" w:hAnsi="Jost Bold"/>
          <w:rtl w:val="0"/>
        </w:rPr>
        <w:t>S. K. Vadlamani</w:t>
      </w:r>
      <w:r>
        <w:rPr>
          <w:rStyle w:val="None"/>
          <w:rtl w:val="0"/>
        </w:rPr>
        <w:t xml:space="preserve">, T. P. Xiao, and E. Yablonovitch, </w:t>
      </w:r>
      <w:r>
        <w:rPr>
          <w:rStyle w:val="None"/>
          <w:rtl w:val="1"/>
          <w:lang w:val="ar-SA" w:bidi="ar-SA"/>
        </w:rPr>
        <w:t>“</w:t>
      </w:r>
      <w:r>
        <w:rPr>
          <w:rStyle w:val="None"/>
          <w:rtl w:val="0"/>
          <w:lang w:val="en-US"/>
        </w:rPr>
        <w:t>Physics successfully implements Lagrange multiplier optimization</w:t>
      </w:r>
      <w:r>
        <w:rPr>
          <w:rStyle w:val="None"/>
          <w:rtl w:val="0"/>
        </w:rPr>
        <w:t>”</w:t>
      </w:r>
      <w:r>
        <w:rPr>
          <w:rStyle w:val="None"/>
          <w:rtl w:val="0"/>
        </w:rPr>
        <w:t xml:space="preserve">, </w:t>
      </w:r>
      <w:r>
        <w:rPr>
          <w:rStyle w:val="None"/>
          <w:i w:val="1"/>
          <w:iCs w:val="1"/>
          <w:rtl w:val="0"/>
          <w:lang w:val="en-US"/>
        </w:rPr>
        <w:t>Proceedings of the National Academy of Sciences</w:t>
      </w:r>
      <w:r>
        <w:rPr>
          <w:rStyle w:val="None"/>
          <w:rtl w:val="0"/>
          <w:lang w:val="pt-PT"/>
        </w:rPr>
        <w:t>, vol. 117, no. 43, pp. 26639</w:t>
      </w:r>
      <w:r>
        <w:rPr>
          <w:rStyle w:val="None"/>
          <w:rtl w:val="0"/>
        </w:rPr>
        <w:t>–</w:t>
      </w:r>
      <w:r>
        <w:rPr>
          <w:rStyle w:val="None"/>
          <w:rtl w:val="0"/>
          <w:lang w:val="pt-PT"/>
        </w:rPr>
        <w:t xml:space="preserve">26650, Oct. 2020, DOI: </w:t>
      </w:r>
      <w:r>
        <w:rPr>
          <w:rStyle w:val="Hyperlink.4"/>
        </w:rPr>
        <w:fldChar w:fldCharType="begin" w:fldLock="0"/>
      </w:r>
      <w:r>
        <w:rPr>
          <w:rStyle w:val="Hyperlink.4"/>
        </w:rPr>
        <w:instrText xml:space="preserve"> HYPERLINK "https://doi.org/10.1073/pnas.2015192117"</w:instrText>
      </w:r>
      <w:r>
        <w:rPr>
          <w:rStyle w:val="Hyperlink.4"/>
        </w:rPr>
        <w:fldChar w:fldCharType="separate" w:fldLock="0"/>
      </w:r>
      <w:r>
        <w:rPr>
          <w:rStyle w:val="Hyperlink.4"/>
          <w:rtl w:val="0"/>
          <w:lang w:val="pt-PT"/>
        </w:rPr>
        <w:t>https://doi.org/10.1073/pnas.2015192117</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[9] </w:t>
      </w:r>
      <w:r>
        <w:rPr>
          <w:rStyle w:val="None"/>
          <w:rFonts w:ascii="Jost Bold" w:hAnsi="Jost Bold"/>
          <w:rtl w:val="0"/>
          <w:lang w:val="en-US"/>
        </w:rPr>
        <w:t>B. Scellier and Y. Bengio</w:t>
      </w:r>
      <w:r>
        <w:rPr>
          <w:rStyle w:val="None"/>
          <w:rtl w:val="0"/>
        </w:rPr>
        <w:t xml:space="preserve">, </w:t>
      </w:r>
      <w:r>
        <w:rPr>
          <w:rStyle w:val="None"/>
          <w:rtl w:val="1"/>
          <w:lang w:val="ar-SA" w:bidi="ar-SA"/>
        </w:rPr>
        <w:t>“</w:t>
      </w:r>
      <w:r>
        <w:rPr>
          <w:rStyle w:val="None"/>
          <w:rtl w:val="0"/>
          <w:lang w:val="en-US"/>
        </w:rPr>
        <w:t>Equilibrium Propagation: Bridging the Gap between Energy-Based Models and Backpropagation</w:t>
      </w:r>
      <w:r>
        <w:rPr>
          <w:rStyle w:val="None"/>
          <w:rtl w:val="0"/>
        </w:rPr>
        <w:t>”</w:t>
      </w:r>
      <w:r>
        <w:rPr>
          <w:rStyle w:val="None"/>
          <w:rtl w:val="0"/>
        </w:rPr>
        <w:t xml:space="preserve">, </w:t>
      </w:r>
      <w:r>
        <w:rPr>
          <w:rStyle w:val="None"/>
          <w:i w:val="1"/>
          <w:iCs w:val="1"/>
          <w:rtl w:val="0"/>
          <w:lang w:val="fr-FR"/>
        </w:rPr>
        <w:t>Frontiers in Computational Neuroscience</w:t>
      </w:r>
      <w:r>
        <w:rPr>
          <w:rStyle w:val="None"/>
          <w:rtl w:val="0"/>
          <w:lang w:val="en-US"/>
        </w:rPr>
        <w:t xml:space="preserve">, vol. 11, May 2017, </w:t>
      </w:r>
    </w:p>
    <w:p>
      <w:pPr>
        <w:pStyle w:val="Body"/>
        <w:spacing w:line="276" w:lineRule="auto"/>
        <w:ind w:left="0" w:firstLine="0"/>
      </w:pPr>
      <w:r>
        <w:rPr>
          <w:rStyle w:val="None"/>
          <w:rtl w:val="0"/>
          <w:lang w:val="fr-FR"/>
        </w:rPr>
        <w:t xml:space="preserve">DOI: </w:t>
      </w:r>
      <w:r>
        <w:rPr>
          <w:rStyle w:val="Hyperlink.4"/>
        </w:rPr>
        <w:fldChar w:fldCharType="begin" w:fldLock="0"/>
      </w:r>
      <w:r>
        <w:rPr>
          <w:rStyle w:val="Hyperlink.4"/>
        </w:rPr>
        <w:instrText xml:space="preserve"> HYPERLINK "https://doi.org/10.3389/fncom.2017.00024"</w:instrText>
      </w:r>
      <w:r>
        <w:rPr>
          <w:rStyle w:val="Hyperlink.4"/>
        </w:rPr>
        <w:fldChar w:fldCharType="separate" w:fldLock="0"/>
      </w:r>
      <w:r>
        <w:rPr>
          <w:rStyle w:val="Hyperlink.4"/>
          <w:rtl w:val="0"/>
          <w:lang w:val="en-US"/>
        </w:rPr>
        <w:t>https://doi.org/10.3389/fncom.2017.00024</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[10] </w:t>
      </w:r>
      <w:r>
        <w:rPr>
          <w:rStyle w:val="None"/>
          <w:rFonts w:ascii="Jost Bold" w:hAnsi="Jost Bold"/>
          <w:rtl w:val="0"/>
          <w:lang w:val="de-DE"/>
        </w:rPr>
        <w:t>G. Hinton,</w:t>
      </w:r>
      <w:r>
        <w:rPr>
          <w:rStyle w:val="None"/>
          <w:rtl w:val="1"/>
          <w:lang w:val="ar-SA" w:bidi="ar-SA"/>
        </w:rPr>
        <w:t xml:space="preserve"> “</w:t>
      </w:r>
      <w:r>
        <w:rPr>
          <w:rStyle w:val="None"/>
          <w:rtl w:val="0"/>
          <w:lang w:val="en-US"/>
        </w:rPr>
        <w:t>The Forward-Forward Algorithm: Some Preliminary Investigations</w:t>
      </w:r>
      <w:r>
        <w:rPr>
          <w:rStyle w:val="None"/>
          <w:rtl w:val="0"/>
        </w:rPr>
        <w:t>”</w:t>
      </w:r>
      <w:r>
        <w:rPr>
          <w:rStyle w:val="None"/>
          <w:rtl w:val="0"/>
        </w:rPr>
        <w:t xml:space="preserve">, </w:t>
      </w:r>
      <w:r>
        <w:rPr>
          <w:rStyle w:val="None"/>
          <w:i w:val="1"/>
          <w:iCs w:val="1"/>
          <w:rtl w:val="0"/>
          <w:lang w:val="pt-PT"/>
        </w:rPr>
        <w:t>arXiv.org, [cs]</w:t>
      </w:r>
      <w:r>
        <w:rPr>
          <w:rStyle w:val="None"/>
          <w:rtl w:val="0"/>
          <w:lang w:val="pt-PT"/>
        </w:rPr>
        <w:t xml:space="preserve">, Dec. 2022, </w:t>
      </w:r>
    </w:p>
    <w:p>
      <w:pPr>
        <w:pStyle w:val="Body"/>
        <w:spacing w:line="276" w:lineRule="auto"/>
        <w:ind w:left="0" w:firstLine="0"/>
      </w:pPr>
      <w:r>
        <w:rPr>
          <w:rStyle w:val="None"/>
          <w:rtl w:val="0"/>
          <w:lang w:val="fr-FR"/>
        </w:rPr>
        <w:t xml:space="preserve">DOI: </w:t>
      </w:r>
      <w:r>
        <w:rPr>
          <w:rStyle w:val="Hyperlink.4"/>
        </w:rPr>
        <w:fldChar w:fldCharType="begin" w:fldLock="0"/>
      </w:r>
      <w:r>
        <w:rPr>
          <w:rStyle w:val="Hyperlink.4"/>
        </w:rPr>
        <w:instrText xml:space="preserve"> HYPERLINK "https://arxiv.org/abs/2212.13345"</w:instrText>
      </w:r>
      <w:r>
        <w:rPr>
          <w:rStyle w:val="Hyperlink.4"/>
        </w:rPr>
        <w:fldChar w:fldCharType="separate" w:fldLock="0"/>
      </w:r>
      <w:r>
        <w:rPr>
          <w:rStyle w:val="Hyperlink.4"/>
          <w:rtl w:val="0"/>
          <w:lang w:val="de-DE"/>
        </w:rPr>
        <w:t>https://arxiv.org/abs/2212.13345</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[11] </w:t>
      </w:r>
      <w:r>
        <w:rPr>
          <w:rStyle w:val="None"/>
          <w:rFonts w:ascii="Jost Bold" w:hAnsi="Jost Bold"/>
          <w:rtl w:val="0"/>
          <w:lang w:val="de-DE"/>
        </w:rPr>
        <w:t>B. Millidge</w:t>
      </w:r>
      <w:r>
        <w:rPr>
          <w:rStyle w:val="None"/>
          <w:rtl w:val="0"/>
        </w:rPr>
        <w:t xml:space="preserve">, Y. Song, T. Salvatori, T. Lukasiewicz, and R. Bogacz, </w:t>
      </w:r>
      <w:r>
        <w:rPr>
          <w:rStyle w:val="None"/>
          <w:rtl w:val="1"/>
          <w:lang w:val="ar-SA" w:bidi="ar-SA"/>
        </w:rPr>
        <w:t>“</w:t>
      </w:r>
      <w:r>
        <w:rPr>
          <w:rStyle w:val="None"/>
          <w:rtl w:val="0"/>
          <w:lang w:val="en-US"/>
        </w:rPr>
        <w:t>Backpropagation at the Infinitesimal Inference Limit of Energy-Based Models: Unifying Predictive Coding, Equilibrium Propagation, and Contrastive Hebbian Learning</w:t>
      </w:r>
      <w:r>
        <w:rPr>
          <w:rStyle w:val="None"/>
          <w:rtl w:val="0"/>
        </w:rPr>
        <w:t>”</w:t>
      </w:r>
      <w:r>
        <w:rPr>
          <w:rStyle w:val="None"/>
          <w:rtl w:val="0"/>
        </w:rPr>
        <w:t xml:space="preserve">, </w:t>
      </w:r>
      <w:r>
        <w:rPr>
          <w:rStyle w:val="None"/>
          <w:i w:val="1"/>
          <w:iCs w:val="1"/>
          <w:rtl w:val="0"/>
        </w:rPr>
        <w:t>arXiv.org</w:t>
      </w:r>
      <w:r>
        <w:rPr>
          <w:rStyle w:val="None"/>
          <w:rtl w:val="0"/>
        </w:rPr>
        <w:t xml:space="preserve">, Aug. 03, 2022, DOI: </w:t>
      </w:r>
      <w:r>
        <w:rPr>
          <w:rStyle w:val="Hyperlink.4"/>
        </w:rPr>
        <w:fldChar w:fldCharType="begin" w:fldLock="0"/>
      </w:r>
      <w:r>
        <w:rPr>
          <w:rStyle w:val="Hyperlink.4"/>
        </w:rPr>
        <w:instrText xml:space="preserve"> HYPERLINK "https://arxiv.org/abs/2206.02629"</w:instrText>
      </w:r>
      <w:r>
        <w:rPr>
          <w:rStyle w:val="Hyperlink.4"/>
        </w:rPr>
        <w:fldChar w:fldCharType="separate" w:fldLock="0"/>
      </w:r>
      <w:r>
        <w:rPr>
          <w:rStyle w:val="Hyperlink.4"/>
          <w:rtl w:val="0"/>
        </w:rPr>
        <w:t>https://arxiv.org/abs/2206.02629</w:t>
      </w:r>
      <w:r>
        <w:rPr/>
        <w:fldChar w:fldCharType="end" w:fldLock="0"/>
      </w:r>
      <w:r>
        <w:rPr>
          <w:rStyle w:val="None"/>
          <w:rtl w:val="0"/>
        </w:rPr>
        <w:t>.</w:t>
      </w:r>
    </w:p>
    <w:p>
      <w:pPr>
        <w:pStyle w:val="Body"/>
        <w:spacing w:line="276" w:lineRule="auto"/>
        <w:ind w:left="0" w:firstLine="0"/>
      </w:pPr>
    </w:p>
    <w:p>
      <w:pPr>
        <w:pStyle w:val="Body"/>
        <w:spacing w:line="276" w:lineRule="auto"/>
        <w:ind w:left="0" w:firstLine="0"/>
      </w:pPr>
      <w:r>
        <w:rPr>
          <w:rStyle w:val="None"/>
          <w:rtl w:val="0"/>
          <w:lang w:val="pt-PT"/>
        </w:rPr>
        <w:t xml:space="preserve">[12] </w:t>
      </w:r>
      <w:r>
        <w:rPr>
          <w:rStyle w:val="None"/>
          <w:rFonts w:ascii="Jost Bold" w:hAnsi="Jost Bold"/>
          <w:rtl w:val="0"/>
          <w:lang w:val="de-DE"/>
        </w:rPr>
        <w:t>H. G. Katzgraber</w:t>
      </w:r>
      <w:r>
        <w:rPr>
          <w:rStyle w:val="None"/>
          <w:rtl w:val="0"/>
        </w:rPr>
        <w:t xml:space="preserve">, </w:t>
      </w:r>
      <w:r>
        <w:rPr>
          <w:rStyle w:val="None"/>
          <w:rtl w:val="1"/>
          <w:lang w:val="ar-SA" w:bidi="ar-SA"/>
        </w:rPr>
        <w:t>“</w:t>
      </w:r>
      <w:r>
        <w:rPr>
          <w:rStyle w:val="None"/>
          <w:rtl w:val="0"/>
          <w:lang w:val="en-US"/>
        </w:rPr>
        <w:t>Introduction to Monte Carlo Methods</w:t>
      </w:r>
      <w:r>
        <w:rPr>
          <w:rStyle w:val="None"/>
          <w:rtl w:val="0"/>
        </w:rPr>
        <w:t>”</w:t>
      </w:r>
      <w:r>
        <w:rPr>
          <w:rStyle w:val="None"/>
          <w:rtl w:val="0"/>
        </w:rPr>
        <w:t xml:space="preserve">, </w:t>
      </w:r>
      <w:r>
        <w:rPr>
          <w:rStyle w:val="None"/>
          <w:i w:val="1"/>
          <w:iCs w:val="1"/>
          <w:rtl w:val="0"/>
          <w:lang w:val="en-US"/>
        </w:rPr>
        <w:t>arXiv.org, [cond-mat, physics:physics]</w:t>
      </w:r>
      <w:r>
        <w:rPr>
          <w:rStyle w:val="None"/>
          <w:rtl w:val="0"/>
          <w:lang w:val="en-US"/>
        </w:rPr>
        <w:t xml:space="preserve">, May 2011, DOI: </w:t>
      </w:r>
      <w:r>
        <w:rPr>
          <w:rStyle w:val="Hyperlink.4"/>
        </w:rPr>
        <w:fldChar w:fldCharType="begin" w:fldLock="0"/>
      </w:r>
      <w:r>
        <w:rPr>
          <w:rStyle w:val="Hyperlink.4"/>
        </w:rPr>
        <w:instrText xml:space="preserve"> HYPERLINK "https://arxiv.org/abs/0905.1629"</w:instrText>
      </w:r>
      <w:r>
        <w:rPr>
          <w:rStyle w:val="Hyperlink.4"/>
        </w:rPr>
        <w:fldChar w:fldCharType="separate" w:fldLock="0"/>
      </w:r>
      <w:r>
        <w:rPr>
          <w:rStyle w:val="Hyperlink.4"/>
          <w:rtl w:val="0"/>
          <w:lang w:val="de-DE"/>
        </w:rPr>
        <w:t>https://arxiv.org/abs/0905.1629</w:t>
      </w:r>
      <w:r>
        <w:rPr/>
        <w:fldChar w:fldCharType="end" w:fldLock="0"/>
      </w:r>
      <w:r>
        <w:rPr>
          <w:rStyle w:val="None"/>
          <w:i w:val="1"/>
          <w:iCs w:val="1"/>
          <w:rtl w:val="0"/>
        </w:rPr>
        <w:t>.</w:t>
      </w:r>
    </w:p>
    <w:sectPr>
      <w:headerReference w:type="default" r:id="rId10"/>
      <w:footerReference w:type="default" r:id="rId11"/>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Jost Regular">
    <w:charset w:val="00"/>
    <w:family w:val="roman"/>
    <w:pitch w:val="default"/>
  </w:font>
  <w:font w:name="Jost Medium">
    <w:charset w:val="00"/>
    <w:family w:val="roman"/>
    <w:pitch w:val="default"/>
  </w:font>
  <w:font w:name="Jost Bold">
    <w:charset w:val="00"/>
    <w:family w:val="roman"/>
    <w:pitch w:val="default"/>
  </w:font>
  <w:font w:name="Jost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7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9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7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9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16" w:lineRule="auto"/>
      <w:ind w:left="720" w:right="0" w:hanging="360"/>
      <w:jc w:val="left"/>
      <w:outlineLvl w:val="9"/>
    </w:pPr>
    <w:rPr>
      <w:rFonts w:ascii="Jost Regular" w:cs="Arial Unicode MS" w:hAnsi="Jost Regula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0" w:line="216" w:lineRule="auto"/>
      <w:ind w:left="850" w:right="0" w:firstLine="0"/>
      <w:jc w:val="left"/>
      <w:outlineLvl w:val="9"/>
    </w:pPr>
    <w:rPr>
      <w:rFonts w:ascii="Jost Medium" w:cs="Jost Medium" w:hAnsi="Jost Medium" w:eastAsia="Jost Medium"/>
      <w:b w:val="0"/>
      <w:bCs w:val="0"/>
      <w:i w:val="0"/>
      <w:iCs w:val="0"/>
      <w:caps w:val="0"/>
      <w:smallCaps w:val="0"/>
      <w:strike w:val="0"/>
      <w:dstrike w:val="0"/>
      <w:outline w:val="0"/>
      <w:color w:val="000000"/>
      <w:spacing w:val="0"/>
      <w:kern w:val="0"/>
      <w:position w:val="0"/>
      <w:sz w:val="46"/>
      <w:szCs w:val="46"/>
      <w:u w:val="none" w:color="000000"/>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1"/>
      <w:pageBreakBefore w:val="0"/>
      <w:widowControl w:val="1"/>
      <w:shd w:val="clear" w:color="auto" w:fill="auto"/>
      <w:suppressAutoHyphens w:val="0"/>
      <w:bidi w:val="0"/>
      <w:spacing w:before="0" w:after="340" w:line="192" w:lineRule="auto"/>
      <w:ind w:left="850" w:right="0" w:firstLine="0"/>
      <w:jc w:val="left"/>
      <w:outlineLvl w:val="9"/>
    </w:pPr>
    <w:rPr>
      <w:rFonts w:ascii="Jost Light" w:cs="Jost Light" w:hAnsi="Jost Light" w:eastAsia="Jost Light"/>
      <w:b w:val="0"/>
      <w:bCs w:val="0"/>
      <w:i w:val="0"/>
      <w:iCs w:val="0"/>
      <w:caps w:val="0"/>
      <w:smallCaps w:val="0"/>
      <w:strike w:val="0"/>
      <w:dstrike w:val="0"/>
      <w:outline w:val="0"/>
      <w:color w:val="000000"/>
      <w:spacing w:val="0"/>
      <w:kern w:val="0"/>
      <w:position w:val="0"/>
      <w:sz w:val="46"/>
      <w:szCs w:val="46"/>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Jost Bold" w:cs="Jost Bold" w:hAnsi="Jost Bold" w:eastAsia="Jost Bold"/>
      <w:outline w:val="0"/>
      <w:color w:val="1155cc"/>
      <w:sz w:val="24"/>
      <w:szCs w:val="24"/>
      <w:u w:val="single" w:color="1155cc"/>
      <w14:textFill>
        <w14:solidFill>
          <w14:srgbClr w14:val="1155CC"/>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160" w:line="216" w:lineRule="auto"/>
      <w:ind w:left="850" w:right="0" w:firstLine="0"/>
      <w:jc w:val="left"/>
      <w:outlineLvl w:val="0"/>
    </w:pPr>
    <w:rPr>
      <w:rFonts w:ascii="Jost Medium" w:cs="Jost Medium" w:hAnsi="Jost Medium" w:eastAsia="Jost Medium"/>
      <w:b w:val="0"/>
      <w:bCs w:val="0"/>
      <w:i w:val="0"/>
      <w:iCs w:val="0"/>
      <w:caps w:val="0"/>
      <w:smallCaps w:val="0"/>
      <w:strike w:val="0"/>
      <w:dstrike w:val="0"/>
      <w:outline w:val="0"/>
      <w:color w:val="51a2a2"/>
      <w:spacing w:val="0"/>
      <w:kern w:val="0"/>
      <w:position w:val="0"/>
      <w:sz w:val="26"/>
      <w:szCs w:val="26"/>
      <w:u w:val="none" w:color="51a2a2"/>
      <w:shd w:val="nil" w:color="auto" w:fill="auto"/>
      <w:vertAlign w:val="baseline"/>
      <w14:textOutline>
        <w14:noFill/>
      </w14:textOutline>
      <w14:textFill>
        <w14:solidFill>
          <w14:srgbClr w14:val="51A2A2"/>
        </w14:solidFill>
      </w14:textFill>
    </w:rPr>
  </w:style>
  <w:style w:type="character" w:styleId="Link">
    <w:name w:val="Link"/>
    <w:rPr>
      <w:outline w:val="0"/>
      <w:color w:val="0000ff"/>
      <w:u w:val="single" w:color="0000ff"/>
      <w14:textFill>
        <w14:solidFill>
          <w14:srgbClr w14:val="0000FF"/>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Hyperlink.1">
    <w:name w:val="Hyperlink.1"/>
    <w:basedOn w:val="None"/>
    <w:next w:val="Hyperlink.1"/>
    <w:rPr>
      <w:outline w:val="0"/>
      <w:color w:val="1155cc"/>
      <w:u w:val="single" w:color="1155cc"/>
      <w14:textFill>
        <w14:solidFill>
          <w14:srgbClr w14:val="1155CC"/>
        </w14:solidFill>
      </w14:textFill>
    </w:rPr>
  </w:style>
  <w:style w:type="character" w:styleId="Hyperlink.2">
    <w:name w:val="Hyperlink.2"/>
    <w:basedOn w:val="None"/>
    <w:next w:val="Hyperlink.2"/>
    <w:rPr>
      <w:rFonts w:ascii="Jost Regular" w:cs="Jost Regular" w:hAnsi="Jost Regular" w:eastAsia="Jost Regular"/>
      <w:i w:val="1"/>
      <w:iCs w:val="1"/>
      <w:outline w:val="0"/>
      <w:color w:val="1155cc"/>
      <w:u w:val="single" w:color="1155cc"/>
      <w14:textFill>
        <w14:solidFill>
          <w14:srgbClr w14:val="1155CC"/>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0" w:after="240" w:line="240" w:lineRule="auto"/>
      <w:ind w:left="850" w:right="0" w:firstLine="0"/>
      <w:jc w:val="left"/>
      <w:outlineLvl w:val="1"/>
    </w:pPr>
    <w:rPr>
      <w:rFonts w:ascii="Jost Medium" w:cs="Jost Medium" w:hAnsi="Jost Medium" w:eastAsia="Jost Medium"/>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14:textOutline>
        <w14:noFill/>
      </w14:textOutline>
      <w14:textFill>
        <w14:solidFill>
          <w14:srgbClr w14:val="000000"/>
        </w14:solidFill>
      </w14:textFill>
    </w:rPr>
  </w:style>
  <w:style w:type="character" w:styleId="Hyperlink.3">
    <w:name w:val="Hyperlink.3"/>
    <w:basedOn w:val="None"/>
    <w:next w:val="Hyperlink.3"/>
    <w:rPr>
      <w:rFonts w:ascii="Jost Regular" w:cs="Jost Regular" w:hAnsi="Jost Regular" w:eastAsia="Jost Regular"/>
      <w:i w:val="1"/>
      <w:iCs w:val="1"/>
      <w:u w:val="single"/>
    </w:rPr>
  </w:style>
  <w:style w:type="numbering" w:styleId="Imported Style 5">
    <w:name w:val="Imported Style 5"/>
    <w:pPr>
      <w:numPr>
        <w:numId w:val="9"/>
      </w:numPr>
    </w:pPr>
  </w:style>
  <w:style w:type="character" w:styleId="Hyperlink.4">
    <w:name w:val="Hyperlink.4"/>
    <w:basedOn w:val="None"/>
    <w:next w:val="Hyperlink.4"/>
    <w:rPr>
      <w:u w:val="single"/>
    </w:r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character" w:styleId="Hyperlink.5">
    <w:name w:val="Hyperlink.5"/>
    <w:basedOn w:val="None"/>
    <w:next w:val="Hyperlink.5"/>
    <w:rPr>
      <w:u w:val="single"/>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Jost Medium"/>
        <a:ea typeface="Jost Medium"/>
        <a:cs typeface="Jost Medium"/>
      </a:majorFont>
      <a:minorFont>
        <a:latin typeface="Jost Light"/>
        <a:ea typeface="Jost Light"/>
        <a:cs typeface="Jost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